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E936" w14:textId="5B5BBE36" w:rsidR="006B24B7" w:rsidRPr="00152AC9" w:rsidRDefault="00152AC9" w:rsidP="00152AC9">
      <w:pPr>
        <w:rPr>
          <w:rFonts w:ascii="Tahoma" w:eastAsia="Times New Roman" w:hAnsi="Tahoma" w:cs="Tahoma"/>
          <w:b/>
          <w:bCs/>
          <w:kern w:val="36"/>
          <w:sz w:val="32"/>
        </w:rPr>
      </w:pPr>
      <w:r w:rsidRPr="00152AC9">
        <w:rPr>
          <w:rFonts w:ascii="Tahoma" w:eastAsia="Times New Roman" w:hAnsi="Tahoma" w:cs="Tahoma"/>
          <w:b/>
          <w:bCs/>
          <w:kern w:val="36"/>
          <w:sz w:val="32"/>
        </w:rPr>
        <w:t>Rule 5-200B: Paid Time Off (PTO), Holidays, and Other Paid Leave for University of Utah Hosp</w:t>
      </w:r>
      <w:r>
        <w:rPr>
          <w:rFonts w:ascii="Tahoma" w:eastAsia="Times New Roman" w:hAnsi="Tahoma" w:cs="Tahoma"/>
          <w:b/>
          <w:bCs/>
          <w:kern w:val="36"/>
          <w:sz w:val="32"/>
        </w:rPr>
        <w:t>itals and Clinics Staff Members</w:t>
      </w:r>
      <w:r w:rsidR="00353A3C">
        <w:rPr>
          <w:rFonts w:ascii="Tahoma" w:eastAsia="Times New Roman" w:hAnsi="Tahoma" w:cs="Tahoma"/>
          <w:b/>
          <w:bCs/>
          <w:kern w:val="36"/>
          <w:sz w:val="32"/>
        </w:rPr>
        <w:t xml:space="preserve">. Revision </w:t>
      </w:r>
      <w:ins w:id="0" w:author="Dale Spartz" w:date="2018-02-13T12:49:00Z">
        <w:r w:rsidR="005609EC">
          <w:rPr>
            <w:rFonts w:ascii="Tahoma" w:eastAsia="Times New Roman" w:hAnsi="Tahoma" w:cs="Tahoma"/>
            <w:b/>
            <w:bCs/>
            <w:kern w:val="36"/>
            <w:sz w:val="32"/>
          </w:rPr>
          <w:t>3</w:t>
        </w:r>
      </w:ins>
      <w:del w:id="1" w:author="Dale Spartz" w:date="2018-02-13T12:49:00Z">
        <w:r w:rsidR="00353A3C" w:rsidDel="005609EC">
          <w:rPr>
            <w:rFonts w:ascii="Tahoma" w:eastAsia="Times New Roman" w:hAnsi="Tahoma" w:cs="Tahoma"/>
            <w:b/>
            <w:bCs/>
            <w:kern w:val="36"/>
            <w:sz w:val="32"/>
          </w:rPr>
          <w:delText>2</w:delText>
        </w:r>
      </w:del>
      <w:r w:rsidR="00353A3C">
        <w:rPr>
          <w:rFonts w:ascii="Tahoma" w:eastAsia="Times New Roman" w:hAnsi="Tahoma" w:cs="Tahoma"/>
          <w:b/>
          <w:bCs/>
          <w:kern w:val="36"/>
          <w:sz w:val="32"/>
        </w:rPr>
        <w:t>. Effective Date: July 1, 201</w:t>
      </w:r>
      <w:ins w:id="2" w:author="Dale Spartz" w:date="2018-02-13T12:49:00Z">
        <w:r w:rsidR="005609EC">
          <w:rPr>
            <w:rFonts w:ascii="Tahoma" w:eastAsia="Times New Roman" w:hAnsi="Tahoma" w:cs="Tahoma"/>
            <w:b/>
            <w:bCs/>
            <w:kern w:val="36"/>
            <w:sz w:val="32"/>
          </w:rPr>
          <w:t>8</w:t>
        </w:r>
      </w:ins>
      <w:del w:id="3" w:author="Dale Spartz" w:date="2018-02-13T12:49:00Z">
        <w:r w:rsidR="00353A3C" w:rsidDel="005609EC">
          <w:rPr>
            <w:rFonts w:ascii="Tahoma" w:eastAsia="Times New Roman" w:hAnsi="Tahoma" w:cs="Tahoma"/>
            <w:b/>
            <w:bCs/>
            <w:kern w:val="36"/>
            <w:sz w:val="32"/>
          </w:rPr>
          <w:delText>6</w:delText>
        </w:r>
      </w:del>
    </w:p>
    <w:p w14:paraId="4ED35963" w14:textId="73E1918D" w:rsidR="002D498B" w:rsidRDefault="00D21E57" w:rsidP="002936F4">
      <w:pPr>
        <w:pStyle w:val="ListParagraph"/>
        <w:numPr>
          <w:ilvl w:val="0"/>
          <w:numId w:val="8"/>
        </w:numPr>
        <w:rPr>
          <w:b/>
        </w:rPr>
      </w:pPr>
      <w:r w:rsidRPr="00BF41A3">
        <w:rPr>
          <w:b/>
        </w:rPr>
        <w:t>Purpose and Scope</w:t>
      </w:r>
    </w:p>
    <w:p w14:paraId="10A12616" w14:textId="2F2B9FCF" w:rsidR="00A417EB" w:rsidRDefault="00152AC9" w:rsidP="00152AC9">
      <w:pPr>
        <w:pStyle w:val="ListParagraph"/>
        <w:ind w:left="360"/>
        <w:contextualSpacing w:val="0"/>
      </w:pPr>
      <w:r w:rsidRPr="00152AC9">
        <w:t>The purpose of this rule is to implement Policies 5-200 (Leaves of Absence – Health Related), 5-201 (Leaves of Absence – Non-Health Related), 5-300 (Holidays), and 5-301 (Vacation Leave), and align the paid time off, holidays, and other paid leave practices for staff employees of the University of Utah Hospitals and Clinics (UUHC) with the practices of peer health care institutions and the needs of hospital and clinic operations while creating flexibility for a diverse workforce, allowing employees to own all of their accrued time and reducing unscheduled absences. This Rule applies only to staff employees of the University of Utah Hospitals and Clinics. Regulations governing all other University employees (including all University Faculty, all non-faculty academic employees, and Staff employees of all units other than UUHC) are provided in Rule 5-200A (Scope, Eligibility and Limitations for Leaves of Absence – Health-Related); Policy 5-201 (Leaves of Absence – Non-Health-Related);Rule 5-300A (Scope, Eligibility and Limitations for Holidays – University Employees Other Than UUHC); and Rule 5-301A (Scope, Eligibility, and Limitations for Vacation Leave – University Employees Other Than UUHC).</w:t>
      </w:r>
    </w:p>
    <w:p w14:paraId="4C5AB5E3" w14:textId="76D64240" w:rsidR="00D21E57" w:rsidRPr="00AC7731" w:rsidRDefault="00D21E57" w:rsidP="00D21E57">
      <w:pPr>
        <w:pStyle w:val="ListParagraph"/>
        <w:numPr>
          <w:ilvl w:val="0"/>
          <w:numId w:val="8"/>
        </w:numPr>
        <w:contextualSpacing w:val="0"/>
        <w:rPr>
          <w:b/>
        </w:rPr>
      </w:pPr>
      <w:r w:rsidRPr="00AC7731">
        <w:rPr>
          <w:b/>
        </w:rPr>
        <w:t>Definitions</w:t>
      </w:r>
    </w:p>
    <w:p w14:paraId="0DD77887" w14:textId="43022EA4" w:rsidR="00A106B0" w:rsidRDefault="00152AC9" w:rsidP="00152AC9">
      <w:pPr>
        <w:pStyle w:val="ListParagraph"/>
        <w:numPr>
          <w:ilvl w:val="1"/>
          <w:numId w:val="8"/>
        </w:numPr>
        <w:contextualSpacing w:val="0"/>
      </w:pPr>
      <w:r w:rsidRPr="00152AC9">
        <w:t>The definitions provided in Policy 5-001, Employee Definitions, apply for purposes of this Rule, including these defined terms: Employee, Benefits-eligible Position, Full-time Equivalent (FTE), Staff Member, Exempt (Salaried) Position, Non-exempt (Hourly) Position, and Temporary.</w:t>
      </w:r>
    </w:p>
    <w:p w14:paraId="45C4339A" w14:textId="719EC098" w:rsidR="00152AC9" w:rsidRDefault="00152AC9" w:rsidP="00152AC9">
      <w:pPr>
        <w:pStyle w:val="ListParagraph"/>
        <w:numPr>
          <w:ilvl w:val="1"/>
          <w:numId w:val="8"/>
        </w:numPr>
        <w:contextualSpacing w:val="0"/>
      </w:pPr>
      <w:r w:rsidRPr="00152AC9">
        <w:t xml:space="preserve">Paid Time Off (PTO): PTO refers to accrued time, not including paid Holidays, that may be used by employees for any personal reason, including but not limited </w:t>
      </w:r>
      <w:r w:rsidRPr="00152AC9">
        <w:lastRenderedPageBreak/>
        <w:t>to observance of vacation, sick leave or other health related absences. PTO provided under this Rule incorporates and substitutes for the paid vacation and sick leave provided to non-UUHC employees of the University under other Regulations, and incorporates and substitutes for the Annual Personal Preference Holidays, which will not be provided separately.</w:t>
      </w:r>
    </w:p>
    <w:p w14:paraId="724F78BB" w14:textId="7CB37B4E" w:rsidR="00152AC9" w:rsidRDefault="00152AC9" w:rsidP="00152AC9">
      <w:pPr>
        <w:pStyle w:val="ListParagraph"/>
        <w:numPr>
          <w:ilvl w:val="1"/>
          <w:numId w:val="8"/>
        </w:numPr>
        <w:contextualSpacing w:val="0"/>
      </w:pPr>
      <w:r w:rsidRPr="00152AC9">
        <w:t>Extended Sick Leave ("ESL"): ESL refers to sick leave accruals earned during UUHC employment prior to the October 1, 2012 date of initial implementation of this Rule.</w:t>
      </w:r>
    </w:p>
    <w:p w14:paraId="0C8E5966" w14:textId="32BA47A2" w:rsidR="00152AC9" w:rsidRDefault="00152AC9" w:rsidP="00152AC9">
      <w:pPr>
        <w:pStyle w:val="ListParagraph"/>
        <w:numPr>
          <w:ilvl w:val="1"/>
          <w:numId w:val="8"/>
        </w:numPr>
        <w:contextualSpacing w:val="0"/>
      </w:pPr>
      <w:r w:rsidRPr="00152AC9">
        <w:t>Holiday ("HOL"): refers to the benefit of paid days provided to UUHC employees as designated paid holidays observed by the University of Utah, as described in Policy 5-300 (but for purposes of this Rule for UUHC employees not including Annual Personal Preference Holidays).</w:t>
      </w:r>
    </w:p>
    <w:p w14:paraId="10044054" w14:textId="0C1F8BEB" w:rsidR="00D21E57" w:rsidRDefault="00D21E57" w:rsidP="00D21E57">
      <w:pPr>
        <w:pStyle w:val="ListParagraph"/>
        <w:numPr>
          <w:ilvl w:val="0"/>
          <w:numId w:val="8"/>
        </w:numPr>
        <w:contextualSpacing w:val="0"/>
        <w:rPr>
          <w:b/>
        </w:rPr>
      </w:pPr>
      <w:r w:rsidRPr="00D21E57">
        <w:rPr>
          <w:b/>
        </w:rPr>
        <w:t>Rule</w:t>
      </w:r>
    </w:p>
    <w:p w14:paraId="089C10F4" w14:textId="25696706" w:rsidR="00A106B0" w:rsidRDefault="00152AC9" w:rsidP="00152AC9">
      <w:pPr>
        <w:pStyle w:val="ListParagraph"/>
        <w:numPr>
          <w:ilvl w:val="1"/>
          <w:numId w:val="8"/>
        </w:numPr>
        <w:contextualSpacing w:val="0"/>
      </w:pPr>
      <w:r w:rsidRPr="00152AC9">
        <w:t>Paid Time Off (PTO) Benefits.</w:t>
      </w:r>
    </w:p>
    <w:p w14:paraId="57A2051B" w14:textId="3C23A3D1" w:rsidR="00152AC9" w:rsidRDefault="00152AC9" w:rsidP="00152AC9">
      <w:pPr>
        <w:pStyle w:val="ListParagraph"/>
        <w:numPr>
          <w:ilvl w:val="2"/>
          <w:numId w:val="8"/>
        </w:numPr>
        <w:contextualSpacing w:val="0"/>
      </w:pPr>
      <w:r w:rsidRPr="00152AC9">
        <w:rPr>
          <w:i/>
        </w:rPr>
        <w:t>PTO Eligibility</w:t>
      </w:r>
      <w:r w:rsidRPr="00152AC9">
        <w:t>: UUHC staff members are eligible for PTO benefits if they hold Benefits Eligible positions at not less than 0.75 FTE. UUHC staff in temporary positions, or whose permanent assignment is for less than 75% FTE, are not eligible for PTO benefits.</w:t>
      </w:r>
    </w:p>
    <w:p w14:paraId="3E505D85" w14:textId="488B4A4D" w:rsidR="00152AC9" w:rsidRDefault="00152AC9" w:rsidP="00152AC9">
      <w:pPr>
        <w:pStyle w:val="ListParagraph"/>
        <w:numPr>
          <w:ilvl w:val="2"/>
          <w:numId w:val="8"/>
        </w:numPr>
        <w:contextualSpacing w:val="0"/>
      </w:pPr>
      <w:r w:rsidRPr="00152AC9">
        <w:rPr>
          <w:i/>
        </w:rPr>
        <w:t>PTO accrual rates</w:t>
      </w:r>
      <w:r w:rsidRPr="00152AC9">
        <w:t>:</w:t>
      </w:r>
      <w:r>
        <w:t xml:space="preserve"> </w:t>
      </w:r>
    </w:p>
    <w:p w14:paraId="22AE4211" w14:textId="04D3A5CD" w:rsidR="00152AC9" w:rsidRDefault="00152AC9" w:rsidP="00152AC9">
      <w:pPr>
        <w:pStyle w:val="ListParagraph"/>
        <w:numPr>
          <w:ilvl w:val="3"/>
          <w:numId w:val="8"/>
        </w:numPr>
        <w:contextualSpacing w:val="0"/>
      </w:pPr>
      <w:r w:rsidRPr="00152AC9">
        <w:t>Eligible Employees accrue PTO benefits monthly, at rates determined by the Employee's position, years of service (rates increase in five-year steps), and FTE of the employee position.</w:t>
      </w:r>
    </w:p>
    <w:p w14:paraId="468C4B7E" w14:textId="39C5017A" w:rsidR="00152AC9" w:rsidRDefault="00152AC9" w:rsidP="00152AC9">
      <w:pPr>
        <w:pStyle w:val="ListParagraph"/>
        <w:numPr>
          <w:ilvl w:val="3"/>
          <w:numId w:val="8"/>
        </w:numPr>
        <w:contextualSpacing w:val="0"/>
      </w:pPr>
      <w:r w:rsidRPr="00152AC9">
        <w:t>The applicable rates for 1.0 FTE positions are shown in Table 1 below.</w:t>
      </w:r>
    </w:p>
    <w:p w14:paraId="55D67545" w14:textId="4D45056E" w:rsidR="00152AC9" w:rsidRDefault="00152AC9" w:rsidP="00152AC9">
      <w:pPr>
        <w:pStyle w:val="ListParagraph"/>
        <w:numPr>
          <w:ilvl w:val="3"/>
          <w:numId w:val="8"/>
        </w:numPr>
        <w:contextualSpacing w:val="0"/>
      </w:pPr>
      <w:r w:rsidRPr="00152AC9">
        <w:t>Eligible employees working less than 1.0 FTE, but at least .75 FTE will accrue amounts pro-rated by their FTE.</w:t>
      </w:r>
    </w:p>
    <w:p w14:paraId="6BEE2992" w14:textId="5AB938FD" w:rsidR="00152AC9" w:rsidRDefault="00152AC9" w:rsidP="00152AC9">
      <w:pPr>
        <w:pStyle w:val="ListParagraph"/>
        <w:numPr>
          <w:ilvl w:val="3"/>
          <w:numId w:val="8"/>
        </w:numPr>
        <w:contextualSpacing w:val="0"/>
      </w:pPr>
      <w:r w:rsidRPr="00152AC9">
        <w:lastRenderedPageBreak/>
        <w:t xml:space="preserve">Eligible employees working .50 to .74 FTE will accrue </w:t>
      </w:r>
      <w:r w:rsidR="00353A3C">
        <w:t xml:space="preserve">at </w:t>
      </w:r>
      <w:ins w:id="4" w:author="Dale Spartz" w:date="2018-02-13T12:35:00Z">
        <w:r w:rsidR="00C34104">
          <w:t>50</w:t>
        </w:r>
      </w:ins>
      <w:del w:id="5" w:author="Dale Spartz" w:date="2018-02-13T12:35:00Z">
        <w:r w:rsidR="00353A3C" w:rsidRPr="00FF7CAB" w:rsidDel="00C34104">
          <w:delText>2</w:delText>
        </w:r>
        <w:r w:rsidR="00353A3C" w:rsidRPr="00FF7CAB" w:rsidDel="007B2B05">
          <w:delText>5</w:delText>
        </w:r>
      </w:del>
      <w:r w:rsidR="00353A3C">
        <w:t>% of the full time benefited rate,</w:t>
      </w:r>
      <w:r w:rsidRPr="00152AC9">
        <w:t xml:space="preserve"> pro-rated by their FTE.</w:t>
      </w:r>
    </w:p>
    <w:p w14:paraId="42A038E6" w14:textId="7574416E" w:rsidR="00152AC9" w:rsidRPr="00FF7CAB" w:rsidRDefault="00152AC9" w:rsidP="00152AC9">
      <w:pPr>
        <w:pStyle w:val="ListParagraph"/>
        <w:numPr>
          <w:ilvl w:val="2"/>
          <w:numId w:val="8"/>
        </w:numPr>
        <w:contextualSpacing w:val="0"/>
        <w:rPr>
          <w:i/>
        </w:rPr>
      </w:pPr>
      <w:r w:rsidRPr="00FF7CAB">
        <w:rPr>
          <w:i/>
        </w:rPr>
        <w:t xml:space="preserve">Annual PTO carry-over limits. </w:t>
      </w:r>
    </w:p>
    <w:p w14:paraId="07FF1F3C" w14:textId="37B280C6" w:rsidR="00152AC9" w:rsidRPr="00FF7CAB" w:rsidRDefault="00152AC9" w:rsidP="00152AC9">
      <w:pPr>
        <w:pStyle w:val="ListParagraph"/>
        <w:numPr>
          <w:ilvl w:val="3"/>
          <w:numId w:val="8"/>
        </w:numPr>
        <w:contextualSpacing w:val="0"/>
      </w:pPr>
      <w:r w:rsidRPr="00FF7CAB">
        <w:t xml:space="preserve">The maximum PTO accrual </w:t>
      </w:r>
      <w:ins w:id="6" w:author="Dale Spartz" w:date="2018-02-13T12:37:00Z">
        <w:r w:rsidR="00C34104">
          <w:t xml:space="preserve">for Hospitals &amp; Clinics </w:t>
        </w:r>
      </w:ins>
      <w:del w:id="7" w:author="Dale Spartz" w:date="2018-02-13T12:37:00Z">
        <w:r w:rsidRPr="00FF7CAB" w:rsidDel="00C34104">
          <w:delText>that may be carried over to each new calendar year by UUHC</w:delText>
        </w:r>
      </w:del>
      <w:r w:rsidRPr="00FF7CAB">
        <w:t xml:space="preserve"> Managers, Directors and Executive Directors is 600 hours</w:t>
      </w:r>
      <w:ins w:id="8" w:author="Dale Spartz" w:date="2018-02-13T12:38:00Z">
        <w:r w:rsidR="00C34104">
          <w:t xml:space="preserve">. </w:t>
        </w:r>
      </w:ins>
      <w:del w:id="9" w:author="Dale Spartz" w:date="2018-02-13T12:38:00Z">
        <w:r w:rsidRPr="00FF7CAB" w:rsidDel="00C34104">
          <w:delText xml:space="preserve"> (15 weeks for a full-time employee).</w:delText>
        </w:r>
      </w:del>
      <w:ins w:id="10" w:author="Dale Spartz" w:date="2018-02-13T12:38:00Z">
        <w:r w:rsidR="00C34104">
          <w:t xml:space="preserve"> PTO will stop acc</w:t>
        </w:r>
      </w:ins>
      <w:ins w:id="11" w:author="Dale Spartz" w:date="2018-02-13T12:39:00Z">
        <w:r w:rsidR="00C34104">
          <w:t>r</w:t>
        </w:r>
      </w:ins>
      <w:ins w:id="12" w:author="Dale Spartz" w:date="2018-02-13T12:38:00Z">
        <w:r w:rsidR="00C34104">
          <w:t xml:space="preserve">uing when the maximum is reached and will begin accruing again when hours drop below the maximum. </w:t>
        </w:r>
      </w:ins>
      <w:del w:id="13" w:author="Dale Spartz" w:date="2018-02-13T12:38:00Z">
        <w:r w:rsidRPr="00FF7CAB" w:rsidDel="00C34104">
          <w:delText xml:space="preserve"> Any hours that exceed 600 hours at the end of the calendar year </w:delText>
        </w:r>
      </w:del>
      <w:del w:id="14" w:author="Dale Spartz" w:date="2018-02-13T12:39:00Z">
        <w:r w:rsidRPr="00FF7CAB" w:rsidDel="00C34104">
          <w:delText>will be paid to the employee.</w:delText>
        </w:r>
      </w:del>
    </w:p>
    <w:p w14:paraId="5A764921" w14:textId="6352265C" w:rsidR="00152AC9" w:rsidRPr="007B2B05" w:rsidRDefault="00152AC9" w:rsidP="00152AC9">
      <w:pPr>
        <w:pStyle w:val="ListParagraph"/>
        <w:numPr>
          <w:ilvl w:val="3"/>
          <w:numId w:val="8"/>
        </w:numPr>
        <w:contextualSpacing w:val="0"/>
      </w:pPr>
      <w:r w:rsidRPr="00FF7CAB">
        <w:t xml:space="preserve">The maximum PTO accrual </w:t>
      </w:r>
      <w:ins w:id="15" w:author="Dale Spartz" w:date="2018-02-13T12:39:00Z">
        <w:r w:rsidR="00C34104">
          <w:t xml:space="preserve">for all other Hospitals &amp; Clinics staff is 520 hours. </w:t>
        </w:r>
      </w:ins>
      <w:ins w:id="16" w:author="Dale Spartz" w:date="2018-02-13T12:44:00Z">
        <w:r w:rsidR="00C34104">
          <w:t xml:space="preserve">PTO will stop accruing when the maximum is reached and will begin accruing again when hours drop below the maximum. </w:t>
        </w:r>
      </w:ins>
      <w:del w:id="17" w:author="Dale Spartz" w:date="2018-02-13T12:45:00Z">
        <w:r w:rsidRPr="00FF7CAB" w:rsidDel="00C34104">
          <w:delText>that may be carried over to each new calendar year by</w:delText>
        </w:r>
        <w:r w:rsidRPr="007B2B05" w:rsidDel="00C34104">
          <w:delText>all other UUHC Staff Members is 520 hours (13 weeks for a Full-time Employee). Any hours that exceed 520 at the end of the calendar year will be paid to the employee.</w:delText>
        </w:r>
      </w:del>
    </w:p>
    <w:p w14:paraId="13210ABD" w14:textId="025836A7" w:rsidR="00152AC9" w:rsidRDefault="00152AC9" w:rsidP="00152AC9">
      <w:pPr>
        <w:pStyle w:val="ListParagraph"/>
        <w:numPr>
          <w:ilvl w:val="2"/>
          <w:numId w:val="8"/>
        </w:numPr>
        <w:contextualSpacing w:val="0"/>
      </w:pPr>
      <w:r w:rsidRPr="00152AC9">
        <w:rPr>
          <w:i/>
        </w:rPr>
        <w:t>PTO during leaves</w:t>
      </w:r>
      <w:r w:rsidRPr="00152AC9">
        <w:t>. PTO benefits continue to accrue during leaves of absence with pay, but not during leaves of absence without pay.</w:t>
      </w:r>
    </w:p>
    <w:p w14:paraId="1D252422" w14:textId="397D8528" w:rsidR="00152AC9" w:rsidRDefault="00152AC9" w:rsidP="00152AC9">
      <w:pPr>
        <w:pStyle w:val="ListParagraph"/>
        <w:numPr>
          <w:ilvl w:val="1"/>
          <w:numId w:val="8"/>
        </w:numPr>
        <w:contextualSpacing w:val="0"/>
      </w:pPr>
      <w:r w:rsidRPr="00152AC9">
        <w:t>Holiday (HOL) Benefits.</w:t>
      </w:r>
    </w:p>
    <w:p w14:paraId="1F6A337D" w14:textId="7D3CEEA2" w:rsidR="00152AC9" w:rsidRDefault="00152AC9" w:rsidP="00152AC9">
      <w:pPr>
        <w:pStyle w:val="ListParagraph"/>
        <w:numPr>
          <w:ilvl w:val="2"/>
          <w:numId w:val="8"/>
        </w:numPr>
        <w:contextualSpacing w:val="0"/>
      </w:pPr>
      <w:r w:rsidRPr="00152AC9">
        <w:t>HOL Eligibility: Employees in positions of .50 FTE or greater (20 hours per week or more) are eligible for paid Holiday benefits.</w:t>
      </w:r>
    </w:p>
    <w:p w14:paraId="259BBC28" w14:textId="1D85D216" w:rsidR="00152AC9" w:rsidRDefault="00152AC9" w:rsidP="00152AC9">
      <w:pPr>
        <w:pStyle w:val="ListParagraph"/>
        <w:numPr>
          <w:ilvl w:val="2"/>
          <w:numId w:val="8"/>
        </w:numPr>
        <w:contextualSpacing w:val="0"/>
      </w:pPr>
      <w:r w:rsidRPr="00152AC9">
        <w:t xml:space="preserve">HOL Accrual Rates: Holiday benefits (for all categories of eligible UUHC employees) are based on the University's approved list of ten designated holidays (governed by </w:t>
      </w:r>
      <w:hyperlink r:id="rId8" w:history="1">
        <w:r w:rsidRPr="00152AC9">
          <w:rPr>
            <w:rStyle w:val="Hyperlink"/>
          </w:rPr>
          <w:t>Policy 5-300</w:t>
        </w:r>
      </w:hyperlink>
      <w:r w:rsidRPr="00152AC9">
        <w:t>), thereby accruing at the rate of ten days (80 hours) per year for positions of 1.0 FTE, and prorated accordingly for positions at a lower percentage of FTE (e.g., 40 hours annually for a .5 FTE position).</w:t>
      </w:r>
    </w:p>
    <w:p w14:paraId="1452ECF8" w14:textId="318FDFF9" w:rsidR="00152AC9" w:rsidRDefault="00152AC9" w:rsidP="00152AC9">
      <w:pPr>
        <w:pStyle w:val="ListParagraph"/>
        <w:numPr>
          <w:ilvl w:val="1"/>
          <w:numId w:val="8"/>
        </w:numPr>
        <w:contextualSpacing w:val="0"/>
      </w:pPr>
      <w:r w:rsidRPr="00152AC9">
        <w:lastRenderedPageBreak/>
        <w:t>Table of PTO Accrual Rates, PTO Accrual Limits, and annual Holidays:</w:t>
      </w:r>
    </w:p>
    <w:p w14:paraId="779011A5" w14:textId="50B23F5E" w:rsidR="00B80C5E" w:rsidRDefault="00AE3D1C" w:rsidP="00AE3D1C">
      <w:pPr>
        <w:pStyle w:val="ListParagraph"/>
        <w:contextualSpacing w:val="0"/>
        <w:jc w:val="center"/>
        <w:rPr>
          <w:b/>
        </w:rPr>
      </w:pPr>
      <w:r>
        <w:rPr>
          <w:b/>
        </w:rPr>
        <w:t xml:space="preserve">Table 1 </w:t>
      </w:r>
    </w:p>
    <w:p w14:paraId="6135C9FF" w14:textId="1A2BEA4F" w:rsidR="00AE3D1C" w:rsidRDefault="00AE3D1C" w:rsidP="00AE3D1C">
      <w:pPr>
        <w:pStyle w:val="ListParagraph"/>
        <w:contextualSpacing w:val="0"/>
        <w:jc w:val="center"/>
        <w:rPr>
          <w:b/>
        </w:rPr>
      </w:pPr>
      <w:r>
        <w:rPr>
          <w:b/>
        </w:rPr>
        <w:t>Exempt/Non-Exempt Staff (rates for 1.0 FTE)</w:t>
      </w:r>
    </w:p>
    <w:tbl>
      <w:tblPr>
        <w:tblStyle w:val="TableGrid"/>
        <w:tblW w:w="0" w:type="auto"/>
        <w:tblInd w:w="720" w:type="dxa"/>
        <w:tblLook w:val="04A0" w:firstRow="1" w:lastRow="0" w:firstColumn="1" w:lastColumn="0" w:noHBand="0" w:noVBand="1"/>
      </w:tblPr>
      <w:tblGrid>
        <w:gridCol w:w="1203"/>
        <w:gridCol w:w="1203"/>
        <w:gridCol w:w="1237"/>
        <w:gridCol w:w="1254"/>
        <w:gridCol w:w="1204"/>
        <w:gridCol w:w="1309"/>
        <w:gridCol w:w="1220"/>
      </w:tblGrid>
      <w:tr w:rsidR="00AE3D1C" w14:paraId="22BB3910" w14:textId="77777777" w:rsidTr="00AE3D1C">
        <w:tc>
          <w:tcPr>
            <w:tcW w:w="1335" w:type="dxa"/>
          </w:tcPr>
          <w:p w14:paraId="5339D3BD" w14:textId="4C2D3E71" w:rsidR="00AE3D1C" w:rsidRDefault="00AE3D1C" w:rsidP="00AE3D1C">
            <w:pPr>
              <w:pStyle w:val="ListParagraph"/>
              <w:shd w:val="clear" w:color="auto" w:fill="auto"/>
              <w:ind w:left="0"/>
              <w:contextualSpacing w:val="0"/>
            </w:pPr>
            <w:r>
              <w:t>Service in Years</w:t>
            </w:r>
          </w:p>
        </w:tc>
        <w:tc>
          <w:tcPr>
            <w:tcW w:w="1335" w:type="dxa"/>
          </w:tcPr>
          <w:p w14:paraId="6C7CD6CB" w14:textId="543774A3" w:rsidR="00AE3D1C" w:rsidRDefault="00AE3D1C" w:rsidP="00AE3D1C">
            <w:pPr>
              <w:pStyle w:val="ListParagraph"/>
              <w:shd w:val="clear" w:color="auto" w:fill="auto"/>
              <w:ind w:left="0"/>
              <w:contextualSpacing w:val="0"/>
            </w:pPr>
            <w:r>
              <w:t>Service in Months</w:t>
            </w:r>
          </w:p>
        </w:tc>
        <w:tc>
          <w:tcPr>
            <w:tcW w:w="1336" w:type="dxa"/>
          </w:tcPr>
          <w:p w14:paraId="0C49217C" w14:textId="774B6A00" w:rsidR="00AE3D1C" w:rsidRDefault="00AE3D1C" w:rsidP="00AE3D1C">
            <w:pPr>
              <w:pStyle w:val="ListParagraph"/>
              <w:shd w:val="clear" w:color="auto" w:fill="auto"/>
              <w:ind w:left="0"/>
              <w:contextualSpacing w:val="0"/>
            </w:pPr>
            <w:r>
              <w:t>PTO Accrued per Year (in days @ 8 hrs</w:t>
            </w:r>
            <w:ins w:id="18" w:author="Dale Spartz" w:date="2018-02-13T12:45:00Z">
              <w:r w:rsidR="005609EC">
                <w:t>.</w:t>
              </w:r>
            </w:ins>
            <w:r>
              <w:t xml:space="preserve"> each)</w:t>
            </w:r>
          </w:p>
        </w:tc>
        <w:tc>
          <w:tcPr>
            <w:tcW w:w="1336" w:type="dxa"/>
          </w:tcPr>
          <w:p w14:paraId="6C964FB6" w14:textId="23F7134C" w:rsidR="00AE3D1C" w:rsidRDefault="00AE3D1C" w:rsidP="00AE3D1C">
            <w:pPr>
              <w:pStyle w:val="ListParagraph"/>
              <w:shd w:val="clear" w:color="auto" w:fill="auto"/>
              <w:ind w:left="0"/>
              <w:contextualSpacing w:val="0"/>
            </w:pPr>
            <w:r>
              <w:t>Holidays per Year (in days)</w:t>
            </w:r>
          </w:p>
        </w:tc>
        <w:tc>
          <w:tcPr>
            <w:tcW w:w="1336" w:type="dxa"/>
          </w:tcPr>
          <w:p w14:paraId="5D7CE5C3" w14:textId="26D5286F" w:rsidR="00AE3D1C" w:rsidRDefault="00AE3D1C" w:rsidP="00AE3D1C">
            <w:pPr>
              <w:pStyle w:val="ListParagraph"/>
              <w:shd w:val="clear" w:color="auto" w:fill="auto"/>
              <w:ind w:left="0"/>
              <w:contextualSpacing w:val="0"/>
            </w:pPr>
            <w:r>
              <w:t>Total PTO &amp; Holiday per Year (in days)</w:t>
            </w:r>
          </w:p>
        </w:tc>
        <w:tc>
          <w:tcPr>
            <w:tcW w:w="1336" w:type="dxa"/>
          </w:tcPr>
          <w:p w14:paraId="1B87525E" w14:textId="3AE9AE3B" w:rsidR="00AE3D1C" w:rsidRDefault="00AE3D1C" w:rsidP="00AE3D1C">
            <w:pPr>
              <w:pStyle w:val="ListParagraph"/>
              <w:shd w:val="clear" w:color="auto" w:fill="auto"/>
              <w:ind w:left="0"/>
              <w:contextualSpacing w:val="0"/>
            </w:pPr>
            <w:r>
              <w:t>Maximum end-of-year PTO Carryover (in hours)</w:t>
            </w:r>
          </w:p>
        </w:tc>
        <w:tc>
          <w:tcPr>
            <w:tcW w:w="1336" w:type="dxa"/>
          </w:tcPr>
          <w:p w14:paraId="316FA289" w14:textId="3B751FCA" w:rsidR="00AE3D1C" w:rsidRDefault="00AE3D1C" w:rsidP="00AE3D1C">
            <w:pPr>
              <w:pStyle w:val="ListParagraph"/>
              <w:shd w:val="clear" w:color="auto" w:fill="auto"/>
              <w:ind w:left="0"/>
              <w:contextualSpacing w:val="0"/>
            </w:pPr>
            <w:r>
              <w:t>PTO Monthly Payroll Accrual</w:t>
            </w:r>
          </w:p>
        </w:tc>
      </w:tr>
      <w:tr w:rsidR="00AE3D1C" w14:paraId="20FC5C69" w14:textId="77777777" w:rsidTr="00AE3D1C">
        <w:tc>
          <w:tcPr>
            <w:tcW w:w="1335" w:type="dxa"/>
          </w:tcPr>
          <w:p w14:paraId="0388E5BF" w14:textId="3C221A07" w:rsidR="00AE3D1C" w:rsidRDefault="00AE3D1C" w:rsidP="00AE3D1C">
            <w:pPr>
              <w:pStyle w:val="ListParagraph"/>
              <w:shd w:val="clear" w:color="auto" w:fill="auto"/>
              <w:ind w:left="0"/>
              <w:contextualSpacing w:val="0"/>
            </w:pPr>
            <w:r>
              <w:t>0-5</w:t>
            </w:r>
          </w:p>
        </w:tc>
        <w:tc>
          <w:tcPr>
            <w:tcW w:w="1335" w:type="dxa"/>
          </w:tcPr>
          <w:p w14:paraId="35E27614" w14:textId="35150EC4" w:rsidR="00AE3D1C" w:rsidRDefault="00AE3D1C" w:rsidP="00AE3D1C">
            <w:pPr>
              <w:pStyle w:val="ListParagraph"/>
              <w:shd w:val="clear" w:color="auto" w:fill="auto"/>
              <w:ind w:left="0"/>
              <w:contextualSpacing w:val="0"/>
            </w:pPr>
            <w:r>
              <w:t>0-60</w:t>
            </w:r>
          </w:p>
        </w:tc>
        <w:tc>
          <w:tcPr>
            <w:tcW w:w="1336" w:type="dxa"/>
          </w:tcPr>
          <w:p w14:paraId="4BD89EC1" w14:textId="7E6402A9" w:rsidR="00AE3D1C" w:rsidRDefault="00AE3D1C" w:rsidP="00AE3D1C">
            <w:pPr>
              <w:pStyle w:val="ListParagraph"/>
              <w:shd w:val="clear" w:color="auto" w:fill="auto"/>
              <w:ind w:left="0"/>
              <w:contextualSpacing w:val="0"/>
            </w:pPr>
            <w:r>
              <w:t>20</w:t>
            </w:r>
          </w:p>
        </w:tc>
        <w:tc>
          <w:tcPr>
            <w:tcW w:w="1336" w:type="dxa"/>
          </w:tcPr>
          <w:p w14:paraId="504F2283" w14:textId="386093EF" w:rsidR="00AE3D1C" w:rsidRDefault="00AE3D1C" w:rsidP="00AE3D1C">
            <w:pPr>
              <w:pStyle w:val="ListParagraph"/>
              <w:shd w:val="clear" w:color="auto" w:fill="auto"/>
              <w:ind w:left="0"/>
              <w:contextualSpacing w:val="0"/>
            </w:pPr>
            <w:r>
              <w:t>10</w:t>
            </w:r>
          </w:p>
        </w:tc>
        <w:tc>
          <w:tcPr>
            <w:tcW w:w="1336" w:type="dxa"/>
          </w:tcPr>
          <w:p w14:paraId="06EBD19D" w14:textId="78FE8D96" w:rsidR="00AE3D1C" w:rsidRDefault="00AE3D1C" w:rsidP="00AE3D1C">
            <w:pPr>
              <w:pStyle w:val="ListParagraph"/>
              <w:shd w:val="clear" w:color="auto" w:fill="auto"/>
              <w:ind w:left="0"/>
              <w:contextualSpacing w:val="0"/>
            </w:pPr>
            <w:r>
              <w:t>30</w:t>
            </w:r>
          </w:p>
        </w:tc>
        <w:tc>
          <w:tcPr>
            <w:tcW w:w="1336" w:type="dxa"/>
          </w:tcPr>
          <w:p w14:paraId="1FD5153B" w14:textId="75668FA2" w:rsidR="00AE3D1C" w:rsidRDefault="00AE3D1C" w:rsidP="00AE3D1C">
            <w:pPr>
              <w:pStyle w:val="ListParagraph"/>
              <w:shd w:val="clear" w:color="auto" w:fill="auto"/>
              <w:ind w:left="0"/>
              <w:contextualSpacing w:val="0"/>
            </w:pPr>
            <w:r>
              <w:t>520</w:t>
            </w:r>
          </w:p>
        </w:tc>
        <w:tc>
          <w:tcPr>
            <w:tcW w:w="1336" w:type="dxa"/>
          </w:tcPr>
          <w:p w14:paraId="4C9C3DD1" w14:textId="26328D00" w:rsidR="00AE3D1C" w:rsidRDefault="00AE3D1C" w:rsidP="00AE3D1C">
            <w:pPr>
              <w:pStyle w:val="ListParagraph"/>
              <w:shd w:val="clear" w:color="auto" w:fill="auto"/>
              <w:ind w:left="0"/>
              <w:contextualSpacing w:val="0"/>
            </w:pPr>
            <w:r>
              <w:t>13.333</w:t>
            </w:r>
          </w:p>
        </w:tc>
      </w:tr>
      <w:tr w:rsidR="00AE3D1C" w14:paraId="00B55347" w14:textId="77777777" w:rsidTr="00AE3D1C">
        <w:tc>
          <w:tcPr>
            <w:tcW w:w="1335" w:type="dxa"/>
          </w:tcPr>
          <w:p w14:paraId="0C71E7B0" w14:textId="52136EED" w:rsidR="00AE3D1C" w:rsidRDefault="00AE3D1C" w:rsidP="00AE3D1C">
            <w:pPr>
              <w:pStyle w:val="ListParagraph"/>
              <w:shd w:val="clear" w:color="auto" w:fill="auto"/>
              <w:ind w:left="0"/>
              <w:contextualSpacing w:val="0"/>
            </w:pPr>
            <w:r>
              <w:t>6-10</w:t>
            </w:r>
          </w:p>
        </w:tc>
        <w:tc>
          <w:tcPr>
            <w:tcW w:w="1335" w:type="dxa"/>
          </w:tcPr>
          <w:p w14:paraId="08D1FF9E" w14:textId="668D699F" w:rsidR="00AE3D1C" w:rsidRDefault="00AE3D1C" w:rsidP="00AE3D1C">
            <w:pPr>
              <w:pStyle w:val="ListParagraph"/>
              <w:shd w:val="clear" w:color="auto" w:fill="auto"/>
              <w:ind w:left="0"/>
              <w:contextualSpacing w:val="0"/>
            </w:pPr>
            <w:r>
              <w:t>61-120</w:t>
            </w:r>
          </w:p>
        </w:tc>
        <w:tc>
          <w:tcPr>
            <w:tcW w:w="1336" w:type="dxa"/>
          </w:tcPr>
          <w:p w14:paraId="7B47F81B" w14:textId="57D8886C" w:rsidR="00AE3D1C" w:rsidRDefault="00AE3D1C" w:rsidP="00AE3D1C">
            <w:pPr>
              <w:pStyle w:val="ListParagraph"/>
              <w:shd w:val="clear" w:color="auto" w:fill="auto"/>
              <w:ind w:left="0"/>
              <w:contextualSpacing w:val="0"/>
            </w:pPr>
            <w:r>
              <w:t>25</w:t>
            </w:r>
          </w:p>
        </w:tc>
        <w:tc>
          <w:tcPr>
            <w:tcW w:w="1336" w:type="dxa"/>
          </w:tcPr>
          <w:p w14:paraId="13062E5B" w14:textId="48774D6B" w:rsidR="00AE3D1C" w:rsidRDefault="00AE3D1C" w:rsidP="00AE3D1C">
            <w:pPr>
              <w:pStyle w:val="ListParagraph"/>
              <w:shd w:val="clear" w:color="auto" w:fill="auto"/>
              <w:ind w:left="0"/>
              <w:contextualSpacing w:val="0"/>
            </w:pPr>
            <w:r>
              <w:t>10</w:t>
            </w:r>
          </w:p>
        </w:tc>
        <w:tc>
          <w:tcPr>
            <w:tcW w:w="1336" w:type="dxa"/>
          </w:tcPr>
          <w:p w14:paraId="6F2D06FD" w14:textId="02FA6D60" w:rsidR="00AE3D1C" w:rsidRDefault="00AE3D1C" w:rsidP="00AE3D1C">
            <w:pPr>
              <w:pStyle w:val="ListParagraph"/>
              <w:shd w:val="clear" w:color="auto" w:fill="auto"/>
              <w:ind w:left="0"/>
              <w:contextualSpacing w:val="0"/>
            </w:pPr>
            <w:r>
              <w:t>35</w:t>
            </w:r>
          </w:p>
        </w:tc>
        <w:tc>
          <w:tcPr>
            <w:tcW w:w="1336" w:type="dxa"/>
          </w:tcPr>
          <w:p w14:paraId="2D71FF03" w14:textId="5D190441" w:rsidR="00AE3D1C" w:rsidRDefault="00AE3D1C" w:rsidP="00AE3D1C">
            <w:pPr>
              <w:pStyle w:val="ListParagraph"/>
              <w:shd w:val="clear" w:color="auto" w:fill="auto"/>
              <w:ind w:left="0"/>
              <w:contextualSpacing w:val="0"/>
            </w:pPr>
            <w:r>
              <w:t>520</w:t>
            </w:r>
          </w:p>
        </w:tc>
        <w:tc>
          <w:tcPr>
            <w:tcW w:w="1336" w:type="dxa"/>
          </w:tcPr>
          <w:p w14:paraId="0950ED89" w14:textId="55C4D8CF" w:rsidR="00AE3D1C" w:rsidRDefault="00AE3D1C" w:rsidP="00AE3D1C">
            <w:pPr>
              <w:pStyle w:val="ListParagraph"/>
              <w:shd w:val="clear" w:color="auto" w:fill="auto"/>
              <w:ind w:left="0"/>
              <w:contextualSpacing w:val="0"/>
            </w:pPr>
            <w:r>
              <w:t>16.667</w:t>
            </w:r>
          </w:p>
        </w:tc>
      </w:tr>
      <w:tr w:rsidR="00AE3D1C" w14:paraId="5277395C" w14:textId="77777777" w:rsidTr="00AE3D1C">
        <w:tc>
          <w:tcPr>
            <w:tcW w:w="1335" w:type="dxa"/>
          </w:tcPr>
          <w:p w14:paraId="4748683D" w14:textId="1722D454" w:rsidR="00AE3D1C" w:rsidRDefault="00AE3D1C" w:rsidP="00AE3D1C">
            <w:pPr>
              <w:pStyle w:val="ListParagraph"/>
              <w:shd w:val="clear" w:color="auto" w:fill="auto"/>
              <w:ind w:left="0"/>
              <w:contextualSpacing w:val="0"/>
            </w:pPr>
            <w:r>
              <w:t>11+</w:t>
            </w:r>
          </w:p>
        </w:tc>
        <w:tc>
          <w:tcPr>
            <w:tcW w:w="1335" w:type="dxa"/>
          </w:tcPr>
          <w:p w14:paraId="3FD3D4C3" w14:textId="56FC5AC1" w:rsidR="00AE3D1C" w:rsidRDefault="00AE3D1C" w:rsidP="00AE3D1C">
            <w:pPr>
              <w:pStyle w:val="ListParagraph"/>
              <w:shd w:val="clear" w:color="auto" w:fill="auto"/>
              <w:ind w:left="0"/>
              <w:contextualSpacing w:val="0"/>
            </w:pPr>
            <w:r>
              <w:t>121+</w:t>
            </w:r>
          </w:p>
        </w:tc>
        <w:tc>
          <w:tcPr>
            <w:tcW w:w="1336" w:type="dxa"/>
          </w:tcPr>
          <w:p w14:paraId="3C9611A9" w14:textId="263D5302" w:rsidR="00AE3D1C" w:rsidRDefault="00AE3D1C" w:rsidP="00AE3D1C">
            <w:pPr>
              <w:pStyle w:val="ListParagraph"/>
              <w:shd w:val="clear" w:color="auto" w:fill="auto"/>
              <w:ind w:left="0"/>
              <w:contextualSpacing w:val="0"/>
            </w:pPr>
            <w:r>
              <w:t>30</w:t>
            </w:r>
          </w:p>
        </w:tc>
        <w:tc>
          <w:tcPr>
            <w:tcW w:w="1336" w:type="dxa"/>
          </w:tcPr>
          <w:p w14:paraId="64304B8C" w14:textId="1EDE8A6A" w:rsidR="00AE3D1C" w:rsidRDefault="00AE3D1C" w:rsidP="00AE3D1C">
            <w:pPr>
              <w:pStyle w:val="ListParagraph"/>
              <w:shd w:val="clear" w:color="auto" w:fill="auto"/>
              <w:ind w:left="0"/>
              <w:contextualSpacing w:val="0"/>
            </w:pPr>
            <w:r>
              <w:t>10</w:t>
            </w:r>
          </w:p>
        </w:tc>
        <w:tc>
          <w:tcPr>
            <w:tcW w:w="1336" w:type="dxa"/>
          </w:tcPr>
          <w:p w14:paraId="2BCF1AD1" w14:textId="65339C70" w:rsidR="00AE3D1C" w:rsidRDefault="00AE3D1C" w:rsidP="00AE3D1C">
            <w:pPr>
              <w:pStyle w:val="ListParagraph"/>
              <w:shd w:val="clear" w:color="auto" w:fill="auto"/>
              <w:ind w:left="0"/>
              <w:contextualSpacing w:val="0"/>
            </w:pPr>
            <w:r>
              <w:t>40</w:t>
            </w:r>
          </w:p>
        </w:tc>
        <w:tc>
          <w:tcPr>
            <w:tcW w:w="1336" w:type="dxa"/>
          </w:tcPr>
          <w:p w14:paraId="43449F6A" w14:textId="7D3D6B4F" w:rsidR="00AE3D1C" w:rsidRDefault="00AE3D1C" w:rsidP="00AE3D1C">
            <w:pPr>
              <w:pStyle w:val="ListParagraph"/>
              <w:shd w:val="clear" w:color="auto" w:fill="auto"/>
              <w:ind w:left="0"/>
              <w:contextualSpacing w:val="0"/>
            </w:pPr>
            <w:r>
              <w:t>520</w:t>
            </w:r>
          </w:p>
        </w:tc>
        <w:tc>
          <w:tcPr>
            <w:tcW w:w="1336" w:type="dxa"/>
          </w:tcPr>
          <w:p w14:paraId="3AA47708" w14:textId="400B1D4D" w:rsidR="00AE3D1C" w:rsidRDefault="00AE3D1C" w:rsidP="00AE3D1C">
            <w:pPr>
              <w:pStyle w:val="ListParagraph"/>
              <w:shd w:val="clear" w:color="auto" w:fill="auto"/>
              <w:ind w:left="0"/>
              <w:contextualSpacing w:val="0"/>
            </w:pPr>
            <w:r>
              <w:t>20.000</w:t>
            </w:r>
          </w:p>
        </w:tc>
      </w:tr>
    </w:tbl>
    <w:p w14:paraId="21C8A1D5" w14:textId="1E8CF698" w:rsidR="00AE3D1C" w:rsidRDefault="001A6B70" w:rsidP="001A6B70">
      <w:pPr>
        <w:pStyle w:val="ListParagraph"/>
        <w:contextualSpacing w:val="0"/>
        <w:jc w:val="center"/>
        <w:rPr>
          <w:b/>
        </w:rPr>
      </w:pPr>
      <w:r>
        <w:rPr>
          <w:b/>
        </w:rPr>
        <w:t>Manager/Director (rates for 1.0 FTE)</w:t>
      </w:r>
    </w:p>
    <w:tbl>
      <w:tblPr>
        <w:tblStyle w:val="TableGrid"/>
        <w:tblW w:w="0" w:type="auto"/>
        <w:tblInd w:w="720" w:type="dxa"/>
        <w:tblLook w:val="04A0" w:firstRow="1" w:lastRow="0" w:firstColumn="1" w:lastColumn="0" w:noHBand="0" w:noVBand="1"/>
      </w:tblPr>
      <w:tblGrid>
        <w:gridCol w:w="1203"/>
        <w:gridCol w:w="1203"/>
        <w:gridCol w:w="1237"/>
        <w:gridCol w:w="1254"/>
        <w:gridCol w:w="1204"/>
        <w:gridCol w:w="1309"/>
        <w:gridCol w:w="1220"/>
      </w:tblGrid>
      <w:tr w:rsidR="001A6B70" w14:paraId="58C17F7E" w14:textId="77777777" w:rsidTr="0049439E">
        <w:tc>
          <w:tcPr>
            <w:tcW w:w="1335" w:type="dxa"/>
          </w:tcPr>
          <w:p w14:paraId="14396781" w14:textId="77777777" w:rsidR="001A6B70" w:rsidRDefault="001A6B70" w:rsidP="0049439E">
            <w:pPr>
              <w:pStyle w:val="ListParagraph"/>
              <w:shd w:val="clear" w:color="auto" w:fill="auto"/>
              <w:ind w:left="0"/>
              <w:contextualSpacing w:val="0"/>
            </w:pPr>
            <w:r>
              <w:t>Service in Years</w:t>
            </w:r>
          </w:p>
        </w:tc>
        <w:tc>
          <w:tcPr>
            <w:tcW w:w="1335" w:type="dxa"/>
          </w:tcPr>
          <w:p w14:paraId="794469D2" w14:textId="77777777" w:rsidR="001A6B70" w:rsidRDefault="001A6B70" w:rsidP="0049439E">
            <w:pPr>
              <w:pStyle w:val="ListParagraph"/>
              <w:shd w:val="clear" w:color="auto" w:fill="auto"/>
              <w:ind w:left="0"/>
              <w:contextualSpacing w:val="0"/>
            </w:pPr>
            <w:r>
              <w:t>Service in Months</w:t>
            </w:r>
          </w:p>
        </w:tc>
        <w:tc>
          <w:tcPr>
            <w:tcW w:w="1336" w:type="dxa"/>
          </w:tcPr>
          <w:p w14:paraId="509C92B3" w14:textId="157FC937" w:rsidR="001A6B70" w:rsidRDefault="001A6B70" w:rsidP="0049439E">
            <w:pPr>
              <w:pStyle w:val="ListParagraph"/>
              <w:shd w:val="clear" w:color="auto" w:fill="auto"/>
              <w:ind w:left="0"/>
              <w:contextualSpacing w:val="0"/>
            </w:pPr>
            <w:r>
              <w:t>PTO Accrued per Year (in days @ 8 hrs</w:t>
            </w:r>
            <w:ins w:id="19" w:author="Dale Spartz" w:date="2018-02-13T12:45:00Z">
              <w:r w:rsidR="005609EC">
                <w:t>.</w:t>
              </w:r>
            </w:ins>
            <w:r>
              <w:t xml:space="preserve"> each)</w:t>
            </w:r>
          </w:p>
        </w:tc>
        <w:tc>
          <w:tcPr>
            <w:tcW w:w="1336" w:type="dxa"/>
          </w:tcPr>
          <w:p w14:paraId="21B4CF25" w14:textId="77777777" w:rsidR="001A6B70" w:rsidRDefault="001A6B70" w:rsidP="0049439E">
            <w:pPr>
              <w:pStyle w:val="ListParagraph"/>
              <w:shd w:val="clear" w:color="auto" w:fill="auto"/>
              <w:ind w:left="0"/>
              <w:contextualSpacing w:val="0"/>
            </w:pPr>
            <w:r>
              <w:t>Holidays per Year (in days)</w:t>
            </w:r>
          </w:p>
        </w:tc>
        <w:tc>
          <w:tcPr>
            <w:tcW w:w="1336" w:type="dxa"/>
          </w:tcPr>
          <w:p w14:paraId="307B8A6C" w14:textId="77777777" w:rsidR="001A6B70" w:rsidRDefault="001A6B70" w:rsidP="0049439E">
            <w:pPr>
              <w:pStyle w:val="ListParagraph"/>
              <w:shd w:val="clear" w:color="auto" w:fill="auto"/>
              <w:ind w:left="0"/>
              <w:contextualSpacing w:val="0"/>
            </w:pPr>
            <w:r>
              <w:t>Total PTO &amp; Holiday per Year (in days)</w:t>
            </w:r>
          </w:p>
        </w:tc>
        <w:tc>
          <w:tcPr>
            <w:tcW w:w="1336" w:type="dxa"/>
          </w:tcPr>
          <w:p w14:paraId="0E7A0BC2" w14:textId="77777777" w:rsidR="001A6B70" w:rsidRDefault="001A6B70" w:rsidP="0049439E">
            <w:pPr>
              <w:pStyle w:val="ListParagraph"/>
              <w:shd w:val="clear" w:color="auto" w:fill="auto"/>
              <w:ind w:left="0"/>
              <w:contextualSpacing w:val="0"/>
            </w:pPr>
            <w:r>
              <w:t>Maximum end-of-year PTO Carryover (in hours)</w:t>
            </w:r>
          </w:p>
        </w:tc>
        <w:tc>
          <w:tcPr>
            <w:tcW w:w="1336" w:type="dxa"/>
          </w:tcPr>
          <w:p w14:paraId="7B21BFA1" w14:textId="77777777" w:rsidR="001A6B70" w:rsidRDefault="001A6B70" w:rsidP="0049439E">
            <w:pPr>
              <w:pStyle w:val="ListParagraph"/>
              <w:shd w:val="clear" w:color="auto" w:fill="auto"/>
              <w:ind w:left="0"/>
              <w:contextualSpacing w:val="0"/>
            </w:pPr>
            <w:r>
              <w:t>PTO Monthly Payroll Accrual</w:t>
            </w:r>
          </w:p>
        </w:tc>
      </w:tr>
      <w:tr w:rsidR="001A6B70" w14:paraId="3BC32E5B" w14:textId="77777777" w:rsidTr="0049439E">
        <w:tc>
          <w:tcPr>
            <w:tcW w:w="1335" w:type="dxa"/>
          </w:tcPr>
          <w:p w14:paraId="1244F64B" w14:textId="77777777" w:rsidR="001A6B70" w:rsidRDefault="001A6B70" w:rsidP="0049439E">
            <w:pPr>
              <w:pStyle w:val="ListParagraph"/>
              <w:shd w:val="clear" w:color="auto" w:fill="auto"/>
              <w:ind w:left="0"/>
              <w:contextualSpacing w:val="0"/>
            </w:pPr>
            <w:r>
              <w:t>0-5</w:t>
            </w:r>
          </w:p>
        </w:tc>
        <w:tc>
          <w:tcPr>
            <w:tcW w:w="1335" w:type="dxa"/>
          </w:tcPr>
          <w:p w14:paraId="7AA955D6" w14:textId="77777777" w:rsidR="001A6B70" w:rsidRDefault="001A6B70" w:rsidP="0049439E">
            <w:pPr>
              <w:pStyle w:val="ListParagraph"/>
              <w:shd w:val="clear" w:color="auto" w:fill="auto"/>
              <w:ind w:left="0"/>
              <w:contextualSpacing w:val="0"/>
            </w:pPr>
            <w:r>
              <w:t>0-60</w:t>
            </w:r>
          </w:p>
        </w:tc>
        <w:tc>
          <w:tcPr>
            <w:tcW w:w="1336" w:type="dxa"/>
          </w:tcPr>
          <w:p w14:paraId="4D4EF498" w14:textId="2749A273" w:rsidR="001A6B70" w:rsidRDefault="001A6B70" w:rsidP="0049439E">
            <w:pPr>
              <w:pStyle w:val="ListParagraph"/>
              <w:shd w:val="clear" w:color="auto" w:fill="auto"/>
              <w:ind w:left="0"/>
              <w:contextualSpacing w:val="0"/>
            </w:pPr>
            <w:r>
              <w:t>25</w:t>
            </w:r>
          </w:p>
        </w:tc>
        <w:tc>
          <w:tcPr>
            <w:tcW w:w="1336" w:type="dxa"/>
          </w:tcPr>
          <w:p w14:paraId="690A3CD0" w14:textId="77777777" w:rsidR="001A6B70" w:rsidRDefault="001A6B70" w:rsidP="0049439E">
            <w:pPr>
              <w:pStyle w:val="ListParagraph"/>
              <w:shd w:val="clear" w:color="auto" w:fill="auto"/>
              <w:ind w:left="0"/>
              <w:contextualSpacing w:val="0"/>
            </w:pPr>
            <w:r>
              <w:t>10</w:t>
            </w:r>
          </w:p>
        </w:tc>
        <w:tc>
          <w:tcPr>
            <w:tcW w:w="1336" w:type="dxa"/>
          </w:tcPr>
          <w:p w14:paraId="48CBF059" w14:textId="1F7B7C72" w:rsidR="001A6B70" w:rsidRDefault="001A6B70" w:rsidP="0049439E">
            <w:pPr>
              <w:pStyle w:val="ListParagraph"/>
              <w:shd w:val="clear" w:color="auto" w:fill="auto"/>
              <w:ind w:left="0"/>
              <w:contextualSpacing w:val="0"/>
            </w:pPr>
            <w:r>
              <w:t>35</w:t>
            </w:r>
          </w:p>
        </w:tc>
        <w:tc>
          <w:tcPr>
            <w:tcW w:w="1336" w:type="dxa"/>
          </w:tcPr>
          <w:p w14:paraId="52D058AD" w14:textId="088FBEFA" w:rsidR="001A6B70" w:rsidRDefault="001A6B70" w:rsidP="0049439E">
            <w:pPr>
              <w:pStyle w:val="ListParagraph"/>
              <w:shd w:val="clear" w:color="auto" w:fill="auto"/>
              <w:ind w:left="0"/>
              <w:contextualSpacing w:val="0"/>
            </w:pPr>
            <w:r>
              <w:t>600</w:t>
            </w:r>
          </w:p>
        </w:tc>
        <w:tc>
          <w:tcPr>
            <w:tcW w:w="1336" w:type="dxa"/>
          </w:tcPr>
          <w:p w14:paraId="1DE6D697" w14:textId="29F36B0A" w:rsidR="001A6B70" w:rsidRDefault="001A6B70" w:rsidP="0049439E">
            <w:pPr>
              <w:pStyle w:val="ListParagraph"/>
              <w:shd w:val="clear" w:color="auto" w:fill="auto"/>
              <w:ind w:left="0"/>
              <w:contextualSpacing w:val="0"/>
            </w:pPr>
            <w:r>
              <w:t>16.667</w:t>
            </w:r>
          </w:p>
        </w:tc>
      </w:tr>
      <w:tr w:rsidR="001A6B70" w14:paraId="60E83491" w14:textId="77777777" w:rsidTr="0049439E">
        <w:tc>
          <w:tcPr>
            <w:tcW w:w="1335" w:type="dxa"/>
          </w:tcPr>
          <w:p w14:paraId="49D6282F" w14:textId="77777777" w:rsidR="001A6B70" w:rsidRDefault="001A6B70" w:rsidP="0049439E">
            <w:pPr>
              <w:pStyle w:val="ListParagraph"/>
              <w:shd w:val="clear" w:color="auto" w:fill="auto"/>
              <w:ind w:left="0"/>
              <w:contextualSpacing w:val="0"/>
            </w:pPr>
            <w:r>
              <w:t>6-10</w:t>
            </w:r>
          </w:p>
        </w:tc>
        <w:tc>
          <w:tcPr>
            <w:tcW w:w="1335" w:type="dxa"/>
          </w:tcPr>
          <w:p w14:paraId="37D065B9" w14:textId="77777777" w:rsidR="001A6B70" w:rsidRDefault="001A6B70" w:rsidP="0049439E">
            <w:pPr>
              <w:pStyle w:val="ListParagraph"/>
              <w:shd w:val="clear" w:color="auto" w:fill="auto"/>
              <w:ind w:left="0"/>
              <w:contextualSpacing w:val="0"/>
            </w:pPr>
            <w:r>
              <w:t>61-120</w:t>
            </w:r>
          </w:p>
        </w:tc>
        <w:tc>
          <w:tcPr>
            <w:tcW w:w="1336" w:type="dxa"/>
          </w:tcPr>
          <w:p w14:paraId="50DB2B18" w14:textId="1226F700" w:rsidR="001A6B70" w:rsidRDefault="001A6B70" w:rsidP="0049439E">
            <w:pPr>
              <w:pStyle w:val="ListParagraph"/>
              <w:shd w:val="clear" w:color="auto" w:fill="auto"/>
              <w:ind w:left="0"/>
              <w:contextualSpacing w:val="0"/>
            </w:pPr>
            <w:r>
              <w:t>30</w:t>
            </w:r>
          </w:p>
        </w:tc>
        <w:tc>
          <w:tcPr>
            <w:tcW w:w="1336" w:type="dxa"/>
          </w:tcPr>
          <w:p w14:paraId="03111D1A" w14:textId="77777777" w:rsidR="001A6B70" w:rsidRDefault="001A6B70" w:rsidP="0049439E">
            <w:pPr>
              <w:pStyle w:val="ListParagraph"/>
              <w:shd w:val="clear" w:color="auto" w:fill="auto"/>
              <w:ind w:left="0"/>
              <w:contextualSpacing w:val="0"/>
            </w:pPr>
            <w:r>
              <w:t>10</w:t>
            </w:r>
          </w:p>
        </w:tc>
        <w:tc>
          <w:tcPr>
            <w:tcW w:w="1336" w:type="dxa"/>
          </w:tcPr>
          <w:p w14:paraId="429618B4" w14:textId="4083FBBF" w:rsidR="001A6B70" w:rsidRDefault="001A6B70" w:rsidP="0049439E">
            <w:pPr>
              <w:pStyle w:val="ListParagraph"/>
              <w:shd w:val="clear" w:color="auto" w:fill="auto"/>
              <w:ind w:left="0"/>
              <w:contextualSpacing w:val="0"/>
            </w:pPr>
            <w:r>
              <w:t>40</w:t>
            </w:r>
          </w:p>
        </w:tc>
        <w:tc>
          <w:tcPr>
            <w:tcW w:w="1336" w:type="dxa"/>
          </w:tcPr>
          <w:p w14:paraId="133E9C52" w14:textId="0975EE6B" w:rsidR="001A6B70" w:rsidRDefault="001A6B70" w:rsidP="0049439E">
            <w:pPr>
              <w:pStyle w:val="ListParagraph"/>
              <w:shd w:val="clear" w:color="auto" w:fill="auto"/>
              <w:ind w:left="0"/>
              <w:contextualSpacing w:val="0"/>
            </w:pPr>
            <w:r>
              <w:t>600</w:t>
            </w:r>
          </w:p>
        </w:tc>
        <w:tc>
          <w:tcPr>
            <w:tcW w:w="1336" w:type="dxa"/>
          </w:tcPr>
          <w:p w14:paraId="63FFA19F" w14:textId="0684AD11" w:rsidR="001A6B70" w:rsidRDefault="001A6B70" w:rsidP="0049439E">
            <w:pPr>
              <w:pStyle w:val="ListParagraph"/>
              <w:shd w:val="clear" w:color="auto" w:fill="auto"/>
              <w:ind w:left="0"/>
              <w:contextualSpacing w:val="0"/>
            </w:pPr>
            <w:r>
              <w:t>20.000</w:t>
            </w:r>
          </w:p>
        </w:tc>
      </w:tr>
      <w:tr w:rsidR="001A6B70" w14:paraId="61CCE263" w14:textId="77777777" w:rsidTr="0049439E">
        <w:tc>
          <w:tcPr>
            <w:tcW w:w="1335" w:type="dxa"/>
          </w:tcPr>
          <w:p w14:paraId="4735766B" w14:textId="77777777" w:rsidR="001A6B70" w:rsidRDefault="001A6B70" w:rsidP="0049439E">
            <w:pPr>
              <w:pStyle w:val="ListParagraph"/>
              <w:shd w:val="clear" w:color="auto" w:fill="auto"/>
              <w:ind w:left="0"/>
              <w:contextualSpacing w:val="0"/>
            </w:pPr>
            <w:r>
              <w:t>11+</w:t>
            </w:r>
          </w:p>
        </w:tc>
        <w:tc>
          <w:tcPr>
            <w:tcW w:w="1335" w:type="dxa"/>
          </w:tcPr>
          <w:p w14:paraId="690CB53E" w14:textId="77777777" w:rsidR="001A6B70" w:rsidRDefault="001A6B70" w:rsidP="0049439E">
            <w:pPr>
              <w:pStyle w:val="ListParagraph"/>
              <w:shd w:val="clear" w:color="auto" w:fill="auto"/>
              <w:ind w:left="0"/>
              <w:contextualSpacing w:val="0"/>
            </w:pPr>
            <w:r>
              <w:t>121+</w:t>
            </w:r>
          </w:p>
        </w:tc>
        <w:tc>
          <w:tcPr>
            <w:tcW w:w="1336" w:type="dxa"/>
          </w:tcPr>
          <w:p w14:paraId="27920B94" w14:textId="6917E66B" w:rsidR="001A6B70" w:rsidRDefault="001A6B70" w:rsidP="0049439E">
            <w:pPr>
              <w:pStyle w:val="ListParagraph"/>
              <w:shd w:val="clear" w:color="auto" w:fill="auto"/>
              <w:ind w:left="0"/>
              <w:contextualSpacing w:val="0"/>
            </w:pPr>
            <w:r>
              <w:t>35</w:t>
            </w:r>
          </w:p>
        </w:tc>
        <w:tc>
          <w:tcPr>
            <w:tcW w:w="1336" w:type="dxa"/>
          </w:tcPr>
          <w:p w14:paraId="28D2F081" w14:textId="77777777" w:rsidR="001A6B70" w:rsidRDefault="001A6B70" w:rsidP="0049439E">
            <w:pPr>
              <w:pStyle w:val="ListParagraph"/>
              <w:shd w:val="clear" w:color="auto" w:fill="auto"/>
              <w:ind w:left="0"/>
              <w:contextualSpacing w:val="0"/>
            </w:pPr>
            <w:r>
              <w:t>10</w:t>
            </w:r>
          </w:p>
        </w:tc>
        <w:tc>
          <w:tcPr>
            <w:tcW w:w="1336" w:type="dxa"/>
          </w:tcPr>
          <w:p w14:paraId="3F614022" w14:textId="2F533E7A" w:rsidR="001A6B70" w:rsidRDefault="001A6B70" w:rsidP="0049439E">
            <w:pPr>
              <w:pStyle w:val="ListParagraph"/>
              <w:shd w:val="clear" w:color="auto" w:fill="auto"/>
              <w:ind w:left="0"/>
              <w:contextualSpacing w:val="0"/>
            </w:pPr>
            <w:r>
              <w:t>45</w:t>
            </w:r>
          </w:p>
        </w:tc>
        <w:tc>
          <w:tcPr>
            <w:tcW w:w="1336" w:type="dxa"/>
          </w:tcPr>
          <w:p w14:paraId="10E625D5" w14:textId="3FBDB4E4" w:rsidR="001A6B70" w:rsidRDefault="001A6B70" w:rsidP="0049439E">
            <w:pPr>
              <w:pStyle w:val="ListParagraph"/>
              <w:shd w:val="clear" w:color="auto" w:fill="auto"/>
              <w:ind w:left="0"/>
              <w:contextualSpacing w:val="0"/>
            </w:pPr>
            <w:r>
              <w:t>600</w:t>
            </w:r>
          </w:p>
        </w:tc>
        <w:tc>
          <w:tcPr>
            <w:tcW w:w="1336" w:type="dxa"/>
          </w:tcPr>
          <w:p w14:paraId="684608CF" w14:textId="4AE33BF1" w:rsidR="001A6B70" w:rsidRDefault="001A6B70" w:rsidP="0049439E">
            <w:pPr>
              <w:pStyle w:val="ListParagraph"/>
              <w:shd w:val="clear" w:color="auto" w:fill="auto"/>
              <w:ind w:left="0"/>
              <w:contextualSpacing w:val="0"/>
            </w:pPr>
            <w:r>
              <w:t>23.333</w:t>
            </w:r>
          </w:p>
        </w:tc>
      </w:tr>
    </w:tbl>
    <w:p w14:paraId="20DCEBE1" w14:textId="77777777" w:rsidR="001A6B70" w:rsidRPr="001A6B70" w:rsidRDefault="001A6B70" w:rsidP="001A6B70">
      <w:pPr>
        <w:pStyle w:val="ListParagraph"/>
        <w:contextualSpacing w:val="0"/>
      </w:pPr>
    </w:p>
    <w:p w14:paraId="4D1D8877" w14:textId="31706ACB" w:rsidR="00152AC9" w:rsidRDefault="00152AC9" w:rsidP="00152AC9">
      <w:pPr>
        <w:pStyle w:val="ListParagraph"/>
        <w:numPr>
          <w:ilvl w:val="1"/>
          <w:numId w:val="8"/>
        </w:numPr>
        <w:contextualSpacing w:val="0"/>
      </w:pPr>
      <w:r w:rsidRPr="00152AC9">
        <w:lastRenderedPageBreak/>
        <w:t>PTO and HOL Use and Cash Out:</w:t>
      </w:r>
    </w:p>
    <w:p w14:paraId="40BDC5CA" w14:textId="2DB6DF10" w:rsidR="001A6B70" w:rsidRDefault="001A6B70" w:rsidP="001A6B70">
      <w:pPr>
        <w:pStyle w:val="ListParagraph"/>
        <w:numPr>
          <w:ilvl w:val="2"/>
          <w:numId w:val="8"/>
        </w:numPr>
        <w:contextualSpacing w:val="0"/>
      </w:pPr>
      <w:r w:rsidRPr="001A6B70">
        <w:t>Eligible Employees are encouraged to take time off and are expected to arrange absences in advance with their supervisors according to approved departmental standards in order to prevent disruption of departmental operations.</w:t>
      </w:r>
    </w:p>
    <w:p w14:paraId="5B98268D" w14:textId="2ED2DBA2" w:rsidR="001A6B70" w:rsidRDefault="001A6B70" w:rsidP="001A6B70">
      <w:pPr>
        <w:pStyle w:val="ListParagraph"/>
        <w:numPr>
          <w:ilvl w:val="2"/>
          <w:numId w:val="8"/>
        </w:numPr>
        <w:contextualSpacing w:val="0"/>
      </w:pPr>
      <w:r w:rsidRPr="001A6B70">
        <w:t>As more fully described in definition II.D above, PTO may be used for any personal reason.</w:t>
      </w:r>
    </w:p>
    <w:p w14:paraId="6A40A426" w14:textId="3073E95F" w:rsidR="001A6B70" w:rsidRDefault="001A6B70" w:rsidP="001A6B70">
      <w:pPr>
        <w:pStyle w:val="ListParagraph"/>
        <w:numPr>
          <w:ilvl w:val="2"/>
          <w:numId w:val="8"/>
        </w:numPr>
        <w:contextualSpacing w:val="0"/>
      </w:pPr>
      <w:del w:id="20" w:author="Dale Spartz" w:date="2018-04-05T15:03:00Z">
        <w:r w:rsidRPr="001A6B70" w:rsidDel="00AC5875">
          <w:delText>An employee eligible for and requesting leave under the Family and Medical Leave Act ("FMLA") must substitute any accrued PTO for an equivalent period of unpaid FMLA leave according</w:delText>
        </w:r>
      </w:del>
      <w:ins w:id="21" w:author="Dale Spartz" w:date="2018-04-05T15:03:00Z">
        <w:r w:rsidR="00AC5875">
          <w:t xml:space="preserve"> An employee eligible for and requesting leave under the Family and Medical Leave Act (</w:t>
        </w:r>
      </w:ins>
      <w:ins w:id="22" w:author="Dale Spartz" w:date="2018-04-05T15:04:00Z">
        <w:r w:rsidR="00AC5875">
          <w:t xml:space="preserve">“FMLA”) must substitute any accrued PTO to fulfill the designated eligibility period of the current disability benefit for self, and then after that time period, may substitute any accrued PTO for an equivalent period of unpaid FMLA leave. All other FMLA leaves (not eligible for current disability benefit) must substitute any accrued PTO for an equivalent period of unpaid FMLA leave. </w:t>
        </w:r>
      </w:ins>
      <w:r w:rsidRPr="001A6B70">
        <w:t xml:space="preserve"> </w:t>
      </w:r>
      <w:bookmarkStart w:id="23" w:name="_GoBack"/>
      <w:bookmarkEnd w:id="23"/>
      <w:r w:rsidRPr="001A6B70">
        <w:t>An Employee eligible for Holiday pay who works on any designated Holiday shall receive equal time off which shall be scheduled at the mutual convenience of the employee and UUHC unit, which should be scheduled within the same pay period, if possible, and if not then within the same calendar year. And if such rescheduling is not completed within that year, then that time will be cashed out and paid to the employee at the end of the calendar year.</w:t>
      </w:r>
    </w:p>
    <w:p w14:paraId="6F473306" w14:textId="57405181" w:rsidR="001A6B70" w:rsidRDefault="001A6B70" w:rsidP="001A6B70">
      <w:pPr>
        <w:pStyle w:val="ListParagraph"/>
        <w:numPr>
          <w:ilvl w:val="2"/>
          <w:numId w:val="8"/>
        </w:numPr>
        <w:contextualSpacing w:val="0"/>
      </w:pPr>
      <w:r w:rsidRPr="001A6B70">
        <w:t>Eligible Employees are entitled upon separation from benefits eligible employment to payment for accrued unused PTO and Holiday leave benefits.</w:t>
      </w:r>
    </w:p>
    <w:p w14:paraId="5983A764" w14:textId="62F23DDF" w:rsidR="001A6B70" w:rsidRPr="007B2B05" w:rsidRDefault="001A6B70" w:rsidP="001A6B70">
      <w:pPr>
        <w:pStyle w:val="ListParagraph"/>
        <w:numPr>
          <w:ilvl w:val="2"/>
          <w:numId w:val="8"/>
        </w:numPr>
        <w:contextualSpacing w:val="0"/>
      </w:pPr>
      <w:r w:rsidRPr="007B2B05">
        <w:t xml:space="preserve">Eligible Employees will also be given an </w:t>
      </w:r>
      <w:del w:id="24" w:author="Dale Spartz" w:date="2018-02-13T12:46:00Z">
        <w:r w:rsidRPr="007B2B05" w:rsidDel="005609EC">
          <w:delText>annual</w:delText>
        </w:r>
      </w:del>
      <w:r w:rsidRPr="007B2B05">
        <w:t xml:space="preserve"> option </w:t>
      </w:r>
      <w:ins w:id="25" w:author="Dale Spartz" w:date="2018-02-13T12:46:00Z">
        <w:r w:rsidR="005609EC">
          <w:t>once in the Spring and onc</w:t>
        </w:r>
      </w:ins>
      <w:ins w:id="26" w:author="Dale Spartz" w:date="2018-02-13T12:47:00Z">
        <w:r w:rsidR="005609EC">
          <w:t xml:space="preserve">e in the Fall to elect to receive payment for a cash out of PTO from 20 to 100 hours, </w:t>
        </w:r>
      </w:ins>
      <w:del w:id="27" w:author="Dale Spartz" w:date="2018-02-13T12:47:00Z">
        <w:r w:rsidRPr="007B2B05" w:rsidDel="005609EC">
          <w:delText xml:space="preserve">to receive payment for 20 up to a maximum of </w:delText>
        </w:r>
      </w:del>
      <w:del w:id="28" w:author="Dale Spartz" w:date="2018-02-13T12:46:00Z">
        <w:r w:rsidRPr="007B2B05" w:rsidDel="005609EC">
          <w:delText xml:space="preserve"> </w:delText>
        </w:r>
      </w:del>
      <w:del w:id="29" w:author="Dale Spartz" w:date="2018-02-13T12:47:00Z">
        <w:r w:rsidRPr="007B2B05" w:rsidDel="005609EC">
          <w:delText>80 PTO hours,</w:delText>
        </w:r>
      </w:del>
      <w:r w:rsidRPr="007B2B05">
        <w:t xml:space="preserve"> </w:t>
      </w:r>
      <w:r w:rsidRPr="007B2B05">
        <w:lastRenderedPageBreak/>
        <w:t>provided that they will have a PTO balance of at least 120 (pro-rated by percentage of  FTE</w:t>
      </w:r>
      <w:ins w:id="30" w:author="Dale Spartz" w:date="2018-02-13T12:48:00Z">
        <w:r w:rsidR="005609EC">
          <w:t>)</w:t>
        </w:r>
      </w:ins>
      <w:r w:rsidRPr="007B2B05">
        <w:t xml:space="preserve"> remaining after the cash out per UUHC PTO Guidelines.</w:t>
      </w:r>
    </w:p>
    <w:p w14:paraId="5DE19DDE" w14:textId="048280F7" w:rsidR="001A6B70" w:rsidRDefault="001A6B70" w:rsidP="001A6B70">
      <w:pPr>
        <w:pStyle w:val="ListParagraph"/>
        <w:numPr>
          <w:ilvl w:val="2"/>
          <w:numId w:val="8"/>
        </w:numPr>
        <w:contextualSpacing w:val="0"/>
      </w:pPr>
      <w:r w:rsidRPr="001A6B70">
        <w:t>In the event a UUHC employee transfers to a non-UUHC position with the University, PTO will be paid and/or transferred in accordance with Rule 5-301A. In the event a Non-UUHC employee transfers to a position with UUHC, vacation will be paid, lost and/or transferred to PTO in accordance with relevant sections of Rule 5-301A.</w:t>
      </w:r>
    </w:p>
    <w:p w14:paraId="2AB10386" w14:textId="2A8CBD2E" w:rsidR="00152AC9" w:rsidRDefault="00152AC9" w:rsidP="00152AC9">
      <w:pPr>
        <w:pStyle w:val="ListParagraph"/>
        <w:numPr>
          <w:ilvl w:val="1"/>
          <w:numId w:val="8"/>
        </w:numPr>
        <w:contextualSpacing w:val="0"/>
      </w:pPr>
      <w:r w:rsidRPr="00152AC9">
        <w:t>Extended Sick Leave (ESL)</w:t>
      </w:r>
    </w:p>
    <w:p w14:paraId="74426047" w14:textId="7CBA64EF" w:rsidR="001A6B70" w:rsidRDefault="001A6B70" w:rsidP="001A6B70">
      <w:pPr>
        <w:pStyle w:val="ListParagraph"/>
        <w:numPr>
          <w:ilvl w:val="2"/>
          <w:numId w:val="8"/>
        </w:numPr>
        <w:contextualSpacing w:val="0"/>
      </w:pPr>
      <w:r w:rsidRPr="001A6B70">
        <w:t>ESL Eligibility: UUHC staff members employed at the time this PTO rule was initially implemented (October 1 ,2012) are eligible for transfer into ESL of their sick leave balances which had accrued up to that date (but no further sick leave accrued from that date or later). Employees hired on or after that date, including former UUHC employees rehired after PTO implementation and Employees who transfer to UUHC after PTO implementation from non-UUHC positions with the University, are not eligible for ESL.</w:t>
      </w:r>
    </w:p>
    <w:p w14:paraId="15BF1778" w14:textId="1D03B25D" w:rsidR="001A6B70" w:rsidRDefault="001A6B70" w:rsidP="001A6B70">
      <w:pPr>
        <w:pStyle w:val="ListParagraph"/>
        <w:numPr>
          <w:ilvl w:val="2"/>
          <w:numId w:val="8"/>
        </w:numPr>
        <w:contextualSpacing w:val="0"/>
      </w:pPr>
      <w:r w:rsidRPr="001A6B70">
        <w:t>An Employee with ESL may substitute ESL for unpaid FMLA after having used the allotted time requirement set by the University of Utah Hospital and Clinics (pro-rated by FTE) in connection with the FMLA leave occurrence.</w:t>
      </w:r>
    </w:p>
    <w:p w14:paraId="31DE55F4" w14:textId="73EA7D77" w:rsidR="001A6B70" w:rsidRPr="001A6B70" w:rsidRDefault="001A6B70" w:rsidP="001A6B70">
      <w:pPr>
        <w:pStyle w:val="ListParagraph"/>
        <w:numPr>
          <w:ilvl w:val="2"/>
          <w:numId w:val="8"/>
        </w:numPr>
        <w:contextualSpacing w:val="0"/>
      </w:pPr>
      <w:r w:rsidRPr="001A6B70">
        <w:t>No payment will be made for unused ESL at any time.</w:t>
      </w:r>
    </w:p>
    <w:p w14:paraId="71032B12" w14:textId="1D2F0F88" w:rsidR="00152AC9" w:rsidRDefault="00152AC9" w:rsidP="00152AC9">
      <w:pPr>
        <w:pStyle w:val="ListParagraph"/>
        <w:numPr>
          <w:ilvl w:val="1"/>
          <w:numId w:val="8"/>
        </w:numPr>
        <w:contextualSpacing w:val="0"/>
      </w:pPr>
      <w:r w:rsidRPr="00152AC9">
        <w:t>Other Paid Leave:</w:t>
      </w:r>
    </w:p>
    <w:p w14:paraId="31739286" w14:textId="64F9BB1B" w:rsidR="001A6B70" w:rsidRDefault="001A6B70" w:rsidP="001A6B70">
      <w:pPr>
        <w:pStyle w:val="ListParagraph"/>
        <w:numPr>
          <w:ilvl w:val="2"/>
          <w:numId w:val="8"/>
        </w:numPr>
        <w:contextualSpacing w:val="0"/>
      </w:pPr>
      <w:r w:rsidRPr="001A6B70">
        <w:t>Funeral Leave:</w:t>
      </w:r>
    </w:p>
    <w:p w14:paraId="5B8BD83E" w14:textId="3B59CB1D" w:rsidR="001A6B70" w:rsidRDefault="001A6B70" w:rsidP="001A6B70">
      <w:pPr>
        <w:pStyle w:val="ListParagraph"/>
        <w:numPr>
          <w:ilvl w:val="3"/>
          <w:numId w:val="8"/>
        </w:numPr>
        <w:contextualSpacing w:val="0"/>
      </w:pPr>
      <w:r w:rsidRPr="001A6B70">
        <w:t>Employees in position at 0.75 FTE or greater (30 hours per week or more).</w:t>
      </w:r>
    </w:p>
    <w:p w14:paraId="7ED1DF8A" w14:textId="2458391A" w:rsidR="001A6B70" w:rsidRDefault="001A6B70" w:rsidP="001A6B70">
      <w:pPr>
        <w:pStyle w:val="ListParagraph"/>
        <w:numPr>
          <w:ilvl w:val="3"/>
          <w:numId w:val="8"/>
        </w:numPr>
        <w:contextualSpacing w:val="0"/>
      </w:pPr>
      <w:r w:rsidRPr="001A6B70">
        <w:t>Paid funeral leave up to three working days not counted against PTO bank.</w:t>
      </w:r>
    </w:p>
    <w:p w14:paraId="6793593C" w14:textId="0E52AC3A" w:rsidR="001A6B70" w:rsidRDefault="001A6B70" w:rsidP="001A6B70">
      <w:pPr>
        <w:pStyle w:val="ListParagraph"/>
        <w:numPr>
          <w:ilvl w:val="3"/>
          <w:numId w:val="8"/>
        </w:numPr>
        <w:contextualSpacing w:val="0"/>
      </w:pPr>
      <w:r w:rsidRPr="001A6B70">
        <w:lastRenderedPageBreak/>
        <w:t xml:space="preserve">Available in the event of death of a parent, spouse, domestic partner (as defined in </w:t>
      </w:r>
      <w:hyperlink r:id="rId9" w:history="1">
        <w:r w:rsidRPr="001A6B70">
          <w:rPr>
            <w:rStyle w:val="Hyperlink"/>
          </w:rPr>
          <w:t>Rule 5-200A</w:t>
        </w:r>
      </w:hyperlink>
      <w:r w:rsidRPr="001A6B70">
        <w:t>) child, sibling, parent-in-law, brother-in-law, sister-in-law, grandparent, or grandchild.</w:t>
      </w:r>
    </w:p>
    <w:p w14:paraId="6D26F8A9" w14:textId="5A9D931F" w:rsidR="001A6B70" w:rsidRDefault="001A6B70" w:rsidP="001A6B70">
      <w:pPr>
        <w:pStyle w:val="ListParagraph"/>
        <w:numPr>
          <w:ilvl w:val="2"/>
          <w:numId w:val="8"/>
        </w:numPr>
        <w:contextualSpacing w:val="0"/>
      </w:pPr>
      <w:r w:rsidRPr="001A6B70">
        <w:t>Jury or Witness Duty:</w:t>
      </w:r>
    </w:p>
    <w:p w14:paraId="6A21EC3E" w14:textId="26B0D651" w:rsidR="001A6B70" w:rsidRDefault="001A6B70" w:rsidP="001A6B70">
      <w:pPr>
        <w:pStyle w:val="ListParagraph"/>
        <w:numPr>
          <w:ilvl w:val="3"/>
          <w:numId w:val="8"/>
        </w:numPr>
        <w:contextualSpacing w:val="0"/>
      </w:pPr>
      <w:r w:rsidRPr="001A6B70">
        <w:t>Available to employees required to be absent from work because of an official requirement to appear for jury service or a subpoena to appear as a witness at a trial, deposition, or other official proceedings.</w:t>
      </w:r>
    </w:p>
    <w:p w14:paraId="691AB9D7" w14:textId="16A44728" w:rsidR="001A6B70" w:rsidRDefault="001A6B70" w:rsidP="001A6B70">
      <w:pPr>
        <w:pStyle w:val="ListParagraph"/>
        <w:numPr>
          <w:ilvl w:val="3"/>
          <w:numId w:val="8"/>
        </w:numPr>
        <w:contextualSpacing w:val="0"/>
      </w:pPr>
      <w:r w:rsidRPr="001A6B70">
        <w:t>Employees who are requested to report for jury or witness duty will be paid for the FTE of their normal workday. To receive this pay, the employee must turn the jury or witness duty payment received into the employee's manager who will then send the check directly to the appropriate cashier or cash custodian. The payroll reporter will then add the jury duty hours into the employee time records to cover the time the employee was on jury or witness duty.</w:t>
      </w:r>
    </w:p>
    <w:p w14:paraId="642D87C4" w14:textId="736D4F85" w:rsidR="001A6B70" w:rsidRDefault="001A6B70" w:rsidP="001A6B70">
      <w:pPr>
        <w:pStyle w:val="ListParagraph"/>
        <w:numPr>
          <w:ilvl w:val="2"/>
          <w:numId w:val="8"/>
        </w:numPr>
        <w:contextualSpacing w:val="0"/>
      </w:pPr>
      <w:r w:rsidRPr="001A6B70">
        <w:t>Annual Military Training:</w:t>
      </w:r>
    </w:p>
    <w:p w14:paraId="439097B4" w14:textId="217903A9" w:rsidR="001A6B70" w:rsidRDefault="001A6B70" w:rsidP="001A6B70">
      <w:pPr>
        <w:pStyle w:val="ListParagraph"/>
        <w:numPr>
          <w:ilvl w:val="3"/>
          <w:numId w:val="8"/>
        </w:numPr>
        <w:contextualSpacing w:val="0"/>
      </w:pPr>
      <w:r w:rsidRPr="001A6B70">
        <w:t>Available to employees who are members of the National Guard or any organized reserve branch of the United States uniformed services.</w:t>
      </w:r>
    </w:p>
    <w:p w14:paraId="3A8E32A0" w14:textId="297FD322" w:rsidR="001A6B70" w:rsidRDefault="001A6B70" w:rsidP="001A6B70">
      <w:pPr>
        <w:pStyle w:val="ListParagraph"/>
        <w:numPr>
          <w:ilvl w:val="3"/>
          <w:numId w:val="8"/>
        </w:numPr>
        <w:contextualSpacing w:val="0"/>
      </w:pPr>
      <w:r w:rsidRPr="001A6B70">
        <w:t>Paid leave for up to fifteen (15) working days per year for time spent for annual training at annual encampments or rifle competitions or other duties in connection with the reserve training and instruction requirements of the United States uniformed services or National Guard.</w:t>
      </w:r>
    </w:p>
    <w:p w14:paraId="27D39226" w14:textId="51C2B457" w:rsidR="001A6B70" w:rsidRDefault="001A6B70" w:rsidP="001A6B70">
      <w:pPr>
        <w:pStyle w:val="ListParagraph"/>
        <w:numPr>
          <w:ilvl w:val="3"/>
          <w:numId w:val="8"/>
        </w:numPr>
        <w:contextualSpacing w:val="0"/>
      </w:pPr>
      <w:r w:rsidRPr="001A6B70">
        <w:t>Does not include active military duty, which is unpaid.</w:t>
      </w:r>
    </w:p>
    <w:p w14:paraId="358D40ED" w14:textId="3B8DA9C3" w:rsidR="00672C53" w:rsidRDefault="00EC1467" w:rsidP="00672C53">
      <w:r>
        <w:pict w14:anchorId="4C42E8E4">
          <v:rect id="_x0000_i1025" style="width:0;height:1.5pt" o:hralign="center" o:hrstd="t" o:hr="t" fillcolor="#a0a0a0" stroked="f"/>
        </w:pict>
      </w:r>
    </w:p>
    <w:p w14:paraId="44B66EB0" w14:textId="67731C9C" w:rsidR="00672C53" w:rsidRDefault="00672C53" w:rsidP="00672C53">
      <w:r w:rsidRPr="00672C53">
        <w:t xml:space="preserve">[Note: Parts IV-VII of this Regulation (and all other University Regulations) are Regulations Resource Information – the contents of which are not approved by the Academic Senate or Board of Trustees, and are to be updated from time to time as </w:t>
      </w:r>
      <w:r w:rsidRPr="00672C53">
        <w:lastRenderedPageBreak/>
        <w:t xml:space="preserve">determined appropriate by the cognizant Policy Officer and the Institutional Policy Committee, as per </w:t>
      </w:r>
      <w:hyperlink r:id="rId10" w:history="1">
        <w:r w:rsidRPr="00672C53">
          <w:rPr>
            <w:rStyle w:val="Hyperlink"/>
          </w:rPr>
          <w:t>Policy 1-001</w:t>
        </w:r>
      </w:hyperlink>
      <w:r w:rsidRPr="00672C53">
        <w:t xml:space="preserve"> and </w:t>
      </w:r>
      <w:hyperlink r:id="rId11" w:history="1">
        <w:r w:rsidRPr="00672C53">
          <w:rPr>
            <w:rStyle w:val="Hyperlink"/>
          </w:rPr>
          <w:t>Rule 1-001</w:t>
        </w:r>
      </w:hyperlink>
      <w:r w:rsidRPr="00672C53">
        <w:t>.]</w:t>
      </w:r>
    </w:p>
    <w:p w14:paraId="74370213" w14:textId="724493E4" w:rsidR="00672C53" w:rsidRPr="00A106B0" w:rsidRDefault="00EC1467" w:rsidP="00672C53">
      <w:r>
        <w:pict w14:anchorId="608BE7B2">
          <v:rect id="_x0000_i1026" style="width:0;height:1.5pt" o:hralign="center" o:hrstd="t" o:hr="t" fillcolor="#a0a0a0" stroked="f"/>
        </w:pict>
      </w:r>
    </w:p>
    <w:p w14:paraId="314777DC" w14:textId="69DD6AC1" w:rsidR="00D21E57" w:rsidRDefault="00D21E57" w:rsidP="00D21E57">
      <w:pPr>
        <w:pStyle w:val="ListParagraph"/>
        <w:numPr>
          <w:ilvl w:val="0"/>
          <w:numId w:val="8"/>
        </w:numPr>
        <w:contextualSpacing w:val="0"/>
        <w:rPr>
          <w:b/>
        </w:rPr>
      </w:pPr>
      <w:r w:rsidRPr="00BF41A3">
        <w:rPr>
          <w:b/>
        </w:rPr>
        <w:t>Rules, Procedures, Guidelines, Forms and other Related Resources</w:t>
      </w:r>
    </w:p>
    <w:p w14:paraId="4C0BCDBF" w14:textId="22AB7B42" w:rsidR="00A106B0" w:rsidRDefault="00672C53" w:rsidP="00A106B0">
      <w:pPr>
        <w:pStyle w:val="ListParagraph"/>
        <w:numPr>
          <w:ilvl w:val="1"/>
          <w:numId w:val="8"/>
        </w:numPr>
        <w:contextualSpacing w:val="0"/>
      </w:pPr>
      <w:r>
        <w:t>Policies</w:t>
      </w:r>
    </w:p>
    <w:p w14:paraId="2E1131CF" w14:textId="0CE91922" w:rsidR="00672C53" w:rsidRDefault="00EC1467" w:rsidP="00672C53">
      <w:pPr>
        <w:pStyle w:val="ListParagraph"/>
        <w:contextualSpacing w:val="0"/>
      </w:pPr>
      <w:hyperlink r:id="rId12" w:history="1">
        <w:r w:rsidR="00672C53" w:rsidRPr="00672C53">
          <w:rPr>
            <w:rStyle w:val="Hyperlink"/>
          </w:rPr>
          <w:t>Policy 5-200</w:t>
        </w:r>
      </w:hyperlink>
      <w:r w:rsidR="00672C53">
        <w:t>: Leaves of Absence (Health Related)</w:t>
      </w:r>
    </w:p>
    <w:p w14:paraId="64B09B54" w14:textId="0A61C233" w:rsidR="00672C53" w:rsidRDefault="00EC1467" w:rsidP="00672C53">
      <w:pPr>
        <w:pStyle w:val="ListParagraph"/>
        <w:contextualSpacing w:val="0"/>
      </w:pPr>
      <w:hyperlink r:id="rId13" w:history="1">
        <w:r w:rsidR="00672C53" w:rsidRPr="00672C53">
          <w:rPr>
            <w:rStyle w:val="Hyperlink"/>
          </w:rPr>
          <w:t>Policy 5-201</w:t>
        </w:r>
      </w:hyperlink>
      <w:r w:rsidR="00672C53">
        <w:t>: Leaves of Absence (Non Health Related)</w:t>
      </w:r>
    </w:p>
    <w:p w14:paraId="6643CA24" w14:textId="50A101A8" w:rsidR="00672C53" w:rsidRDefault="00EC1467" w:rsidP="00672C53">
      <w:pPr>
        <w:pStyle w:val="ListParagraph"/>
        <w:contextualSpacing w:val="0"/>
      </w:pPr>
      <w:hyperlink r:id="rId14" w:history="1">
        <w:r w:rsidR="00672C53" w:rsidRPr="00672C53">
          <w:rPr>
            <w:rStyle w:val="Hyperlink"/>
          </w:rPr>
          <w:t>Policy 5-300</w:t>
        </w:r>
      </w:hyperlink>
      <w:r w:rsidR="00672C53">
        <w:t>: Holidays and Holiday Premium Pay</w:t>
      </w:r>
    </w:p>
    <w:p w14:paraId="27A45A4F" w14:textId="7F95EE38" w:rsidR="00672C53" w:rsidRDefault="00EC1467" w:rsidP="00672C53">
      <w:pPr>
        <w:pStyle w:val="ListParagraph"/>
        <w:contextualSpacing w:val="0"/>
      </w:pPr>
      <w:hyperlink r:id="rId15" w:history="1">
        <w:r w:rsidR="00672C53" w:rsidRPr="00672C53">
          <w:rPr>
            <w:rStyle w:val="Hyperlink"/>
          </w:rPr>
          <w:t>Policy 5-301</w:t>
        </w:r>
      </w:hyperlink>
      <w:r w:rsidR="00672C53">
        <w:t>: Vacation Policy</w:t>
      </w:r>
    </w:p>
    <w:p w14:paraId="1EAA6006" w14:textId="27EE99E0" w:rsidR="00672C53" w:rsidRDefault="00672C53" w:rsidP="00A106B0">
      <w:pPr>
        <w:pStyle w:val="ListParagraph"/>
        <w:numPr>
          <w:ilvl w:val="1"/>
          <w:numId w:val="8"/>
        </w:numPr>
        <w:contextualSpacing w:val="0"/>
      </w:pPr>
      <w:r>
        <w:t>Rules</w:t>
      </w:r>
    </w:p>
    <w:p w14:paraId="0791DCED" w14:textId="6CDFACCA" w:rsidR="00672C53" w:rsidRDefault="00EC1467" w:rsidP="00672C53">
      <w:pPr>
        <w:pStyle w:val="ListParagraph"/>
        <w:contextualSpacing w:val="0"/>
      </w:pPr>
      <w:hyperlink r:id="rId16" w:history="1">
        <w:r w:rsidR="00672C53" w:rsidRPr="00672C53">
          <w:rPr>
            <w:rStyle w:val="Hyperlink"/>
          </w:rPr>
          <w:t>Rule 5-200A</w:t>
        </w:r>
      </w:hyperlink>
      <w:r w:rsidR="00672C53" w:rsidRPr="00672C53">
        <w:t>: Scope, Eligibility and Limitations for Vacation Leave - University Employees (Other than UUHC Staff))</w:t>
      </w:r>
    </w:p>
    <w:p w14:paraId="1C1FA136" w14:textId="48DA1E16" w:rsidR="00672C53" w:rsidRDefault="00672C53" w:rsidP="00A106B0">
      <w:pPr>
        <w:pStyle w:val="ListParagraph"/>
        <w:numPr>
          <w:ilvl w:val="1"/>
          <w:numId w:val="8"/>
        </w:numPr>
        <w:contextualSpacing w:val="0"/>
      </w:pPr>
      <w:r>
        <w:t>Procedures</w:t>
      </w:r>
    </w:p>
    <w:p w14:paraId="72C11100" w14:textId="55E82945" w:rsidR="00672C53" w:rsidRDefault="00672C53" w:rsidP="00A106B0">
      <w:pPr>
        <w:pStyle w:val="ListParagraph"/>
        <w:numPr>
          <w:ilvl w:val="1"/>
          <w:numId w:val="8"/>
        </w:numPr>
        <w:contextualSpacing w:val="0"/>
      </w:pPr>
      <w:r>
        <w:t>Guidelines</w:t>
      </w:r>
    </w:p>
    <w:p w14:paraId="46842471" w14:textId="5D263673" w:rsidR="00672C53" w:rsidRDefault="00672C53" w:rsidP="00A106B0">
      <w:pPr>
        <w:pStyle w:val="ListParagraph"/>
        <w:numPr>
          <w:ilvl w:val="1"/>
          <w:numId w:val="8"/>
        </w:numPr>
        <w:contextualSpacing w:val="0"/>
      </w:pPr>
      <w:r>
        <w:t>Forms</w:t>
      </w:r>
    </w:p>
    <w:p w14:paraId="1E03BF28" w14:textId="7F33A127" w:rsidR="00672C53" w:rsidRPr="00A106B0" w:rsidRDefault="00672C53" w:rsidP="00A106B0">
      <w:pPr>
        <w:pStyle w:val="ListParagraph"/>
        <w:numPr>
          <w:ilvl w:val="1"/>
          <w:numId w:val="8"/>
        </w:numPr>
        <w:contextualSpacing w:val="0"/>
      </w:pPr>
      <w:r>
        <w:t>Other related resource materials</w:t>
      </w:r>
    </w:p>
    <w:p w14:paraId="61A98B3D" w14:textId="6903D02B" w:rsidR="00D21E57" w:rsidRPr="00A106B0" w:rsidRDefault="00D21E57" w:rsidP="00D21E57">
      <w:pPr>
        <w:pStyle w:val="ListParagraph"/>
        <w:numPr>
          <w:ilvl w:val="0"/>
          <w:numId w:val="8"/>
        </w:numPr>
        <w:contextualSpacing w:val="0"/>
      </w:pPr>
      <w:r w:rsidRPr="00BF41A3">
        <w:rPr>
          <w:b/>
        </w:rPr>
        <w:t>References</w:t>
      </w:r>
      <w:r w:rsidR="00672C53">
        <w:rPr>
          <w:b/>
        </w:rPr>
        <w:t xml:space="preserve"> (Reserved)</w:t>
      </w:r>
    </w:p>
    <w:p w14:paraId="19A2E9BE" w14:textId="5F3655A9" w:rsidR="00391202" w:rsidRDefault="00D21E57" w:rsidP="00391202">
      <w:pPr>
        <w:pStyle w:val="ListParagraph"/>
        <w:numPr>
          <w:ilvl w:val="0"/>
          <w:numId w:val="8"/>
        </w:numPr>
        <w:contextualSpacing w:val="0"/>
      </w:pPr>
      <w:r w:rsidRPr="00BF41A3">
        <w:rPr>
          <w:b/>
        </w:rPr>
        <w:t>Contacts</w:t>
      </w:r>
    </w:p>
    <w:p w14:paraId="1FBBEB87" w14:textId="54129BB3" w:rsidR="00391202" w:rsidRDefault="00391202" w:rsidP="00391202">
      <w:pPr>
        <w:pStyle w:val="ListParagraph"/>
        <w:ind w:left="360"/>
        <w:contextualSpacing w:val="0"/>
      </w:pPr>
      <w:r w:rsidRPr="00391202">
        <w:t>The designated contact officials for this Policy are:</w:t>
      </w:r>
    </w:p>
    <w:p w14:paraId="428124CA" w14:textId="5B6729D0" w:rsidR="00391202" w:rsidRDefault="00391202" w:rsidP="00391202">
      <w:pPr>
        <w:pStyle w:val="ListParagraph"/>
        <w:numPr>
          <w:ilvl w:val="1"/>
          <w:numId w:val="8"/>
        </w:numPr>
        <w:contextualSpacing w:val="0"/>
      </w:pPr>
      <w:r w:rsidRPr="00391202">
        <w:t>Policy Owner (primary contact person for questions and advice): the University of Utah Hospitals and Clinics’ Director of Employee Relations.</w:t>
      </w:r>
    </w:p>
    <w:p w14:paraId="1B37DD69" w14:textId="6C07EE14" w:rsidR="00391202" w:rsidRDefault="00391202" w:rsidP="00391202">
      <w:pPr>
        <w:pStyle w:val="ListParagraph"/>
        <w:numPr>
          <w:ilvl w:val="1"/>
          <w:numId w:val="8"/>
        </w:numPr>
        <w:contextualSpacing w:val="0"/>
      </w:pPr>
      <w:r w:rsidRPr="00391202">
        <w:lastRenderedPageBreak/>
        <w:t>Policy Officers: the Senior Vice President for Health Sciences.</w:t>
      </w:r>
    </w:p>
    <w:p w14:paraId="61DF46BE" w14:textId="556F47ED" w:rsidR="00391202" w:rsidRDefault="00391202" w:rsidP="00391202">
      <w:pPr>
        <w:pStyle w:val="ListParagraph"/>
        <w:contextualSpacing w:val="0"/>
      </w:pPr>
      <w:r>
        <w:t xml:space="preserve">These officials are designated by the University President or delegee, with assistance of the Institutional Policy Committee, to have the following roles and authority, as provided in </w:t>
      </w:r>
      <w:hyperlink r:id="rId17" w:history="1">
        <w:r w:rsidRPr="00391202">
          <w:rPr>
            <w:rStyle w:val="Hyperlink"/>
          </w:rPr>
          <w:t>University Rule 1-001</w:t>
        </w:r>
      </w:hyperlink>
      <w:r>
        <w:t xml:space="preserve">: </w:t>
      </w:r>
    </w:p>
    <w:p w14:paraId="4DA9BF97" w14:textId="00DC59BC" w:rsidR="00391202" w:rsidRPr="00391202" w:rsidRDefault="00391202" w:rsidP="00391202">
      <w:pPr>
        <w:pStyle w:val="ListParagraph"/>
        <w:contextualSpacing w:val="0"/>
        <w:rPr>
          <w:i/>
        </w:rPr>
      </w:pPr>
      <w:r w:rsidRPr="00391202">
        <w:rPr>
          <w:i/>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07456A15" w14:textId="4885D6D5" w:rsidR="00391202" w:rsidRPr="00A106B0" w:rsidRDefault="00391202" w:rsidP="00391202">
      <w:pPr>
        <w:pStyle w:val="ListParagraph"/>
        <w:contextualSpacing w:val="0"/>
      </w:pPr>
      <w:r w:rsidRPr="00391202">
        <w:rPr>
          <w:i/>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 .[and] bears the responsibility for determining which reference materials are helpful in understanding the meaning and requirements of particular Policies... ."</w:t>
      </w:r>
      <w:r>
        <w:t xml:space="preserve"> University Rule 1-001-III-B &amp; E</w:t>
      </w:r>
    </w:p>
    <w:p w14:paraId="622DD0AD" w14:textId="12AB563E" w:rsidR="00D21E57" w:rsidRPr="00A106B0" w:rsidRDefault="00D21E57" w:rsidP="00D21E57">
      <w:pPr>
        <w:pStyle w:val="ListParagraph"/>
        <w:numPr>
          <w:ilvl w:val="0"/>
          <w:numId w:val="8"/>
        </w:numPr>
        <w:contextualSpacing w:val="0"/>
      </w:pPr>
      <w:r w:rsidRPr="00BF41A3">
        <w:rPr>
          <w:b/>
        </w:rPr>
        <w:t>History</w:t>
      </w:r>
    </w:p>
    <w:p w14:paraId="228FB9FA" w14:textId="77777777" w:rsidR="00391202" w:rsidRDefault="00391202" w:rsidP="00391202">
      <w:pPr>
        <w:pStyle w:val="ListParagraph"/>
        <w:ind w:left="360"/>
        <w:contextualSpacing w:val="0"/>
      </w:pPr>
      <w:r>
        <w:t>Current Version:</w:t>
      </w:r>
    </w:p>
    <w:p w14:paraId="7EDE5E3E" w14:textId="217E8148" w:rsidR="00391202" w:rsidRDefault="00E667C2" w:rsidP="00391202">
      <w:pPr>
        <w:pStyle w:val="ListParagraph"/>
        <w:ind w:left="360"/>
        <w:contextualSpacing w:val="0"/>
      </w:pPr>
      <w:r>
        <w:t>Rule 5-200B: Rev.2</w:t>
      </w:r>
    </w:p>
    <w:p w14:paraId="3C7F1567" w14:textId="7A574E93" w:rsidR="009B2016" w:rsidRDefault="009B2016" w:rsidP="00391202">
      <w:pPr>
        <w:pStyle w:val="ListParagraph"/>
        <w:ind w:left="360"/>
        <w:contextualSpacing w:val="0"/>
      </w:pPr>
      <w:r>
        <w:t>Approved by Academic Senate: June</w:t>
      </w:r>
      <w:r w:rsidR="00FC62A4">
        <w:t xml:space="preserve"> 2016</w:t>
      </w:r>
    </w:p>
    <w:p w14:paraId="51D0A694" w14:textId="77777777" w:rsidR="009B2016" w:rsidRDefault="009B2016" w:rsidP="009B2016">
      <w:pPr>
        <w:pStyle w:val="ListParagraph"/>
        <w:ind w:left="360"/>
        <w:contextualSpacing w:val="0"/>
      </w:pPr>
      <w:r>
        <w:t>Past versions:</w:t>
      </w:r>
    </w:p>
    <w:p w14:paraId="25276F5D" w14:textId="74E803E5" w:rsidR="009B2016" w:rsidRDefault="009B2016" w:rsidP="00391202">
      <w:pPr>
        <w:pStyle w:val="ListParagraph"/>
        <w:ind w:left="360"/>
        <w:contextualSpacing w:val="0"/>
      </w:pPr>
      <w:r>
        <w:t>Interim Rule 5-200B: Rev 0</w:t>
      </w:r>
    </w:p>
    <w:p w14:paraId="3B4655C0" w14:textId="7A945EEC" w:rsidR="00391202" w:rsidRDefault="00EC1467" w:rsidP="00391202">
      <w:pPr>
        <w:pStyle w:val="ListParagraph"/>
        <w:ind w:left="360"/>
        <w:contextualSpacing w:val="0"/>
      </w:pPr>
      <w:hyperlink r:id="rId18" w:history="1">
        <w:r w:rsidR="00391202" w:rsidRPr="00391202">
          <w:rPr>
            <w:rStyle w:val="Hyperlink"/>
          </w:rPr>
          <w:t>Interim Rule 5-200B: Rev. 0</w:t>
        </w:r>
      </w:hyperlink>
    </w:p>
    <w:p w14:paraId="14547474" w14:textId="77777777" w:rsidR="00391202" w:rsidRDefault="00391202" w:rsidP="00391202">
      <w:pPr>
        <w:pStyle w:val="ListParagraph"/>
        <w:ind w:left="360"/>
        <w:contextualSpacing w:val="0"/>
      </w:pPr>
      <w:r>
        <w:lastRenderedPageBreak/>
        <w:t>This Rule was first put into effect by the University's President as Interim Rule R5-200B, (also R5-201, R5-300, R5-301) on September 10, 2012. It was later considered by the Senate and became a Rule as noted in the history of Rule 5-200B Rev. 1.</w:t>
      </w:r>
    </w:p>
    <w:p w14:paraId="1865A5FF" w14:textId="221F641B" w:rsidR="00A106B0" w:rsidRDefault="00EC1467" w:rsidP="00391202">
      <w:pPr>
        <w:pStyle w:val="ListParagraph"/>
        <w:ind w:left="360"/>
        <w:contextualSpacing w:val="0"/>
        <w:rPr>
          <w:rStyle w:val="Hyperlink"/>
        </w:rPr>
      </w:pPr>
      <w:hyperlink r:id="rId19" w:history="1">
        <w:r w:rsidR="00391202" w:rsidRPr="00391202">
          <w:rPr>
            <w:rStyle w:val="Hyperlink"/>
          </w:rPr>
          <w:t>Legislative History of Revision 0</w:t>
        </w:r>
      </w:hyperlink>
    </w:p>
    <w:p w14:paraId="2B3BCC5B" w14:textId="77777777" w:rsidR="00E667C2" w:rsidRDefault="00E667C2" w:rsidP="00E667C2">
      <w:pPr>
        <w:pStyle w:val="ListParagraph"/>
        <w:ind w:left="360"/>
        <w:contextualSpacing w:val="0"/>
      </w:pPr>
      <w:r>
        <w:t>Interim Rule 5-200B Rev.0 was revised to become Rule 5-200B Rev. 1. This Rule also replaces interim rules 5-201, 5-300, and 5-301.</w:t>
      </w:r>
    </w:p>
    <w:p w14:paraId="301B84D1" w14:textId="4E31B601" w:rsidR="00E667C2" w:rsidRDefault="009B2016" w:rsidP="00E667C2">
      <w:pPr>
        <w:pStyle w:val="ListParagraph"/>
        <w:ind w:left="360"/>
        <w:contextualSpacing w:val="0"/>
      </w:pPr>
      <w:r>
        <w:t xml:space="preserve">Effective Dates - </w:t>
      </w:r>
      <w:r w:rsidR="00E667C2">
        <w:t xml:space="preserve"> May 5, 2014</w:t>
      </w:r>
      <w:r>
        <w:t xml:space="preserve"> to June 30, 2016</w:t>
      </w:r>
    </w:p>
    <w:p w14:paraId="642020E6" w14:textId="69FC4D9A" w:rsidR="009B2016" w:rsidRDefault="00163AF3" w:rsidP="00E667C2">
      <w:pPr>
        <w:pStyle w:val="ListParagraph"/>
        <w:ind w:left="360"/>
        <w:contextualSpacing w:val="0"/>
      </w:pPr>
      <w:r>
        <w:fldChar w:fldCharType="begin"/>
      </w:r>
      <w:ins w:id="31" w:author="Dale Spartz" w:date="2018-02-13T12:50:00Z">
        <w:r w:rsidR="005609EC">
          <w:instrText>HYPERLINK "\\\\hsc-evs03.ad.utah.edu\\users\\u0907175\\Previous Revisions\\Rule_5-200B.R1.pdf"</w:instrText>
        </w:r>
      </w:ins>
      <w:del w:id="32" w:author="Dale Spartz" w:date="2018-02-13T12:50:00Z">
        <w:r w:rsidDel="005609EC">
          <w:delInstrText xml:space="preserve"> HYPERLINK "Previous%20Revisions/Rule_5-200B.R1.pdf" </w:delInstrText>
        </w:r>
      </w:del>
      <w:r>
        <w:fldChar w:fldCharType="separate"/>
      </w:r>
      <w:r w:rsidR="009B2016" w:rsidRPr="009B2016">
        <w:rPr>
          <w:rStyle w:val="Hyperlink"/>
        </w:rPr>
        <w:t>Rule 5-200B R1</w:t>
      </w:r>
      <w:r>
        <w:rPr>
          <w:rStyle w:val="Hyperlink"/>
        </w:rPr>
        <w:fldChar w:fldCharType="end"/>
      </w:r>
    </w:p>
    <w:p w14:paraId="2AC323E3" w14:textId="77777777" w:rsidR="00E667C2" w:rsidRDefault="00EC1467" w:rsidP="00E667C2">
      <w:pPr>
        <w:pStyle w:val="ListParagraph"/>
        <w:ind w:left="360"/>
        <w:contextualSpacing w:val="0"/>
      </w:pPr>
      <w:hyperlink r:id="rId20" w:history="1">
        <w:r w:rsidR="00E667C2" w:rsidRPr="00391202">
          <w:rPr>
            <w:rStyle w:val="Hyperlink"/>
          </w:rPr>
          <w:t>Legislative History of Revision 1</w:t>
        </w:r>
      </w:hyperlink>
    </w:p>
    <w:p w14:paraId="7C1776F7" w14:textId="77777777" w:rsidR="00E667C2" w:rsidRPr="00B37449" w:rsidRDefault="00E667C2" w:rsidP="00391202">
      <w:pPr>
        <w:pStyle w:val="ListParagraph"/>
        <w:ind w:left="360"/>
        <w:contextualSpacing w:val="0"/>
      </w:pPr>
    </w:p>
    <w:sectPr w:rsidR="00E667C2" w:rsidRPr="00B3744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BDE8A" w14:textId="77777777" w:rsidR="00C32166" w:rsidRDefault="00C32166" w:rsidP="0010523E">
      <w:pPr>
        <w:spacing w:before="0" w:line="240" w:lineRule="auto"/>
      </w:pPr>
      <w:r>
        <w:separator/>
      </w:r>
    </w:p>
  </w:endnote>
  <w:endnote w:type="continuationSeparator" w:id="0">
    <w:p w14:paraId="28AF4326" w14:textId="77777777" w:rsidR="00C32166" w:rsidRDefault="00C32166" w:rsidP="00105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0451"/>
      <w:docPartObj>
        <w:docPartGallery w:val="Page Numbers (Bottom of Page)"/>
        <w:docPartUnique/>
      </w:docPartObj>
    </w:sdtPr>
    <w:sdtEndPr>
      <w:rPr>
        <w:noProof/>
      </w:rPr>
    </w:sdtEndPr>
    <w:sdtContent>
      <w:p w14:paraId="434FB8D0" w14:textId="77E17B20" w:rsidR="0010523E" w:rsidRDefault="0010523E" w:rsidP="0010523E">
        <w:pPr>
          <w:pStyle w:val="Footer"/>
          <w:jc w:val="center"/>
        </w:pPr>
        <w:r>
          <w:fldChar w:fldCharType="begin"/>
        </w:r>
        <w:r>
          <w:instrText xml:space="preserve"> PAGE   \* MERGEFORMAT </w:instrText>
        </w:r>
        <w:r>
          <w:fldChar w:fldCharType="separate"/>
        </w:r>
        <w:r w:rsidR="00EC1467">
          <w:rPr>
            <w:noProof/>
          </w:rPr>
          <w:t>2</w:t>
        </w:r>
        <w:r>
          <w:rPr>
            <w:noProof/>
          </w:rPr>
          <w:fldChar w:fldCharType="end"/>
        </w:r>
      </w:p>
    </w:sdtContent>
  </w:sdt>
  <w:p w14:paraId="4658F702" w14:textId="1A55C3A7" w:rsidR="00ED595C" w:rsidRDefault="00ED595C" w:rsidP="0032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DB29" w14:textId="77777777" w:rsidR="00C32166" w:rsidRDefault="00C32166" w:rsidP="0010523E">
      <w:pPr>
        <w:spacing w:before="0" w:line="240" w:lineRule="auto"/>
      </w:pPr>
      <w:r>
        <w:separator/>
      </w:r>
    </w:p>
  </w:footnote>
  <w:footnote w:type="continuationSeparator" w:id="0">
    <w:p w14:paraId="4F9CB54E" w14:textId="77777777" w:rsidR="00C32166" w:rsidRDefault="00C32166" w:rsidP="001052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444E" w14:textId="5469EC5A" w:rsidR="00EA6345" w:rsidRPr="000B3D67" w:rsidRDefault="00EA6345" w:rsidP="0072284C">
    <w:pPr>
      <w:pStyle w:val="Header"/>
      <w:tabs>
        <w:tab w:val="clear" w:pos="4680"/>
        <w:tab w:val="left" w:pos="7560"/>
      </w:tabs>
      <w:rPr>
        <w:i/>
        <w:sz w:val="20"/>
        <w:szCs w:val="20"/>
      </w:rPr>
    </w:pPr>
    <w:r w:rsidRPr="000B3D67">
      <w:rPr>
        <w:i/>
        <w:sz w:val="20"/>
        <w:szCs w:val="20"/>
      </w:rPr>
      <w:t>The University of Utah</w:t>
    </w:r>
    <w:r w:rsidR="000B3D67" w:rsidRPr="000B3D67">
      <w:rPr>
        <w:i/>
        <w:sz w:val="20"/>
        <w:szCs w:val="20"/>
      </w:rPr>
      <w:tab/>
      <w:t>Regulations Library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24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5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313B46"/>
    <w:multiLevelType w:val="multilevel"/>
    <w:tmpl w:val="243EA7EA"/>
    <w:numStyleLink w:val="IPCRegulations"/>
  </w:abstractNum>
  <w:abstractNum w:abstractNumId="3" w15:restartNumberingAfterBreak="0">
    <w:nsid w:val="13CD4E31"/>
    <w:multiLevelType w:val="multilevel"/>
    <w:tmpl w:val="243EA7EA"/>
    <w:numStyleLink w:val="IPCRegulations"/>
  </w:abstractNum>
  <w:abstractNum w:abstractNumId="4" w15:restartNumberingAfterBreak="0">
    <w:nsid w:val="1B9024BB"/>
    <w:multiLevelType w:val="multilevel"/>
    <w:tmpl w:val="243EA7EA"/>
    <w:numStyleLink w:val="IPCRegulations"/>
  </w:abstractNum>
  <w:abstractNum w:abstractNumId="5" w15:restartNumberingAfterBreak="0">
    <w:nsid w:val="313D3046"/>
    <w:multiLevelType w:val="multilevel"/>
    <w:tmpl w:val="243EA7EA"/>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20"/>
        </w:tabs>
        <w:ind w:left="720" w:hanging="144"/>
      </w:pPr>
      <w:rPr>
        <w:rFonts w:hint="default"/>
      </w:rPr>
    </w:lvl>
    <w:lvl w:ilvl="2">
      <w:start w:val="1"/>
      <w:numFmt w:val="decimal"/>
      <w:lvlText w:val="%3."/>
      <w:lvlJc w:val="right"/>
      <w:pPr>
        <w:tabs>
          <w:tab w:val="num" w:pos="1080"/>
        </w:tabs>
        <w:ind w:left="1080" w:hanging="144"/>
      </w:pPr>
      <w:rPr>
        <w:rFonts w:hint="default"/>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144"/>
      </w:pPr>
      <w:rPr>
        <w:rFonts w:hint="default"/>
      </w:rPr>
    </w:lvl>
    <w:lvl w:ilvl="7">
      <w:start w:val="1"/>
      <w:numFmt w:val="lowerLetter"/>
      <w:lvlText w:val="%8."/>
      <w:lvlJc w:val="right"/>
      <w:pPr>
        <w:tabs>
          <w:tab w:val="num" w:pos="2880"/>
        </w:tabs>
        <w:ind w:left="2880" w:hanging="144"/>
      </w:pPr>
      <w:rPr>
        <w:rFonts w:hint="default"/>
      </w:rPr>
    </w:lvl>
    <w:lvl w:ilvl="8">
      <w:start w:val="1"/>
      <w:numFmt w:val="lowerRoman"/>
      <w:lvlText w:val="%9."/>
      <w:lvlJc w:val="right"/>
      <w:pPr>
        <w:tabs>
          <w:tab w:val="num" w:pos="3240"/>
        </w:tabs>
        <w:ind w:left="3240" w:hanging="144"/>
      </w:pPr>
      <w:rPr>
        <w:rFonts w:hint="default"/>
      </w:rPr>
    </w:lvl>
  </w:abstractNum>
  <w:abstractNum w:abstractNumId="6" w15:restartNumberingAfterBreak="0">
    <w:nsid w:val="3DE70EB5"/>
    <w:multiLevelType w:val="multilevel"/>
    <w:tmpl w:val="AE50AEBE"/>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7" w15:restartNumberingAfterBreak="0">
    <w:nsid w:val="41981EA5"/>
    <w:multiLevelType w:val="multilevel"/>
    <w:tmpl w:val="243EA7EA"/>
    <w:numStyleLink w:val="IPCRegulations"/>
  </w:abstractNum>
  <w:abstractNum w:abstractNumId="8" w15:restartNumberingAfterBreak="0">
    <w:nsid w:val="437F10E4"/>
    <w:multiLevelType w:val="multilevel"/>
    <w:tmpl w:val="F95CD148"/>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9" w15:restartNumberingAfterBreak="0">
    <w:nsid w:val="4C5226A4"/>
    <w:multiLevelType w:val="multilevel"/>
    <w:tmpl w:val="417A4F48"/>
    <w:lvl w:ilvl="0">
      <w:start w:val="1"/>
      <w:numFmt w:val="upperRoman"/>
      <w:pStyle w:val="Heading2"/>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4E543877"/>
    <w:multiLevelType w:val="multilevel"/>
    <w:tmpl w:val="243EA7EA"/>
    <w:numStyleLink w:val="IPCRegulations"/>
  </w:abstractNum>
  <w:abstractNum w:abstractNumId="11" w15:restartNumberingAfterBreak="0">
    <w:nsid w:val="52183B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4917FCC"/>
    <w:multiLevelType w:val="multilevel"/>
    <w:tmpl w:val="243EA7EA"/>
    <w:numStyleLink w:val="IPCRegulations"/>
  </w:abstractNum>
  <w:abstractNum w:abstractNumId="13" w15:restartNumberingAfterBreak="0">
    <w:nsid w:val="587B2048"/>
    <w:multiLevelType w:val="multilevel"/>
    <w:tmpl w:val="243EA7EA"/>
    <w:numStyleLink w:val="IPCRegulations"/>
  </w:abstractNum>
  <w:abstractNum w:abstractNumId="14" w15:restartNumberingAfterBreak="0">
    <w:nsid w:val="67F3324F"/>
    <w:multiLevelType w:val="hybridMultilevel"/>
    <w:tmpl w:val="605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D455F8"/>
    <w:multiLevelType w:val="multilevel"/>
    <w:tmpl w:val="243EA7EA"/>
    <w:numStyleLink w:val="IPCRegulations"/>
  </w:abstractNum>
  <w:abstractNum w:abstractNumId="16" w15:restartNumberingAfterBreak="0">
    <w:nsid w:val="73D45B9D"/>
    <w:multiLevelType w:val="multilevel"/>
    <w:tmpl w:val="BFCE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A70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9"/>
  </w:num>
  <w:num w:numId="4">
    <w:abstractNumId w:val="16"/>
  </w:num>
  <w:num w:numId="5">
    <w:abstractNumId w:val="4"/>
  </w:num>
  <w:num w:numId="6">
    <w:abstractNumId w:val="7"/>
  </w:num>
  <w:num w:numId="7">
    <w:abstractNumId w:val="8"/>
  </w:num>
  <w:num w:numId="8">
    <w:abstractNumId w:val="13"/>
    <w:lvlOverride w:ilvl="2">
      <w:lvl w:ilvl="2">
        <w:start w:val="1"/>
        <w:numFmt w:val="decimal"/>
        <w:lvlText w:val="%3."/>
        <w:lvlJc w:val="right"/>
        <w:pPr>
          <w:tabs>
            <w:tab w:val="num" w:pos="1080"/>
          </w:tabs>
          <w:ind w:left="1080" w:hanging="144"/>
        </w:pPr>
        <w:rPr>
          <w:rFonts w:hint="default"/>
          <w:i w:val="0"/>
        </w:rPr>
      </w:lvl>
    </w:lvlOverride>
    <w:lvlOverride w:ilvl="3">
      <w:lvl w:ilvl="3">
        <w:start w:val="1"/>
        <w:numFmt w:val="lowerLetter"/>
        <w:lvlText w:val="%4."/>
        <w:lvlJc w:val="right"/>
        <w:pPr>
          <w:tabs>
            <w:tab w:val="num" w:pos="1440"/>
          </w:tabs>
          <w:ind w:left="1440" w:hanging="144"/>
        </w:pPr>
        <w:rPr>
          <w:rFonts w:hint="default"/>
          <w:i w:val="0"/>
        </w:rPr>
      </w:lvl>
    </w:lvlOverride>
  </w:num>
  <w:num w:numId="9">
    <w:abstractNumId w:val="3"/>
  </w:num>
  <w:num w:numId="10">
    <w:abstractNumId w:val="14"/>
  </w:num>
  <w:num w:numId="11">
    <w:abstractNumId w:val="12"/>
  </w:num>
  <w:num w:numId="12">
    <w:abstractNumId w:val="0"/>
  </w:num>
  <w:num w:numId="13">
    <w:abstractNumId w:val="1"/>
  </w:num>
  <w:num w:numId="14">
    <w:abstractNumId w:val="17"/>
  </w:num>
  <w:num w:numId="15">
    <w:abstractNumId w:val="6"/>
  </w:num>
  <w:num w:numId="16">
    <w:abstractNumId w:val="2"/>
  </w:num>
  <w:num w:numId="17">
    <w:abstractNumId w:val="15"/>
  </w:num>
  <w:num w:numId="18">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Spartz">
    <w15:presenceInfo w15:providerId="AD" w15:userId="S-1-5-21-1599696121-1964574698-334091239-293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FB"/>
    <w:rsid w:val="00002832"/>
    <w:rsid w:val="00016B7E"/>
    <w:rsid w:val="00020201"/>
    <w:rsid w:val="00021677"/>
    <w:rsid w:val="000338EB"/>
    <w:rsid w:val="00040821"/>
    <w:rsid w:val="00040AC1"/>
    <w:rsid w:val="00054514"/>
    <w:rsid w:val="00080A27"/>
    <w:rsid w:val="00091816"/>
    <w:rsid w:val="000B064A"/>
    <w:rsid w:val="000B3D67"/>
    <w:rsid w:val="000B47B2"/>
    <w:rsid w:val="000F6668"/>
    <w:rsid w:val="0010523E"/>
    <w:rsid w:val="001249FB"/>
    <w:rsid w:val="00127691"/>
    <w:rsid w:val="00136698"/>
    <w:rsid w:val="00137EF5"/>
    <w:rsid w:val="00151C72"/>
    <w:rsid w:val="00152AC9"/>
    <w:rsid w:val="00163AF3"/>
    <w:rsid w:val="001A1CF0"/>
    <w:rsid w:val="001A68FA"/>
    <w:rsid w:val="001A6B70"/>
    <w:rsid w:val="001C70CE"/>
    <w:rsid w:val="001E3CCA"/>
    <w:rsid w:val="00201728"/>
    <w:rsid w:val="00234539"/>
    <w:rsid w:val="00243804"/>
    <w:rsid w:val="00280EC7"/>
    <w:rsid w:val="002845DC"/>
    <w:rsid w:val="002B041A"/>
    <w:rsid w:val="002D498B"/>
    <w:rsid w:val="002E2107"/>
    <w:rsid w:val="002E26E7"/>
    <w:rsid w:val="002F666E"/>
    <w:rsid w:val="002F6DDD"/>
    <w:rsid w:val="00307F21"/>
    <w:rsid w:val="0031495F"/>
    <w:rsid w:val="003244F8"/>
    <w:rsid w:val="00326920"/>
    <w:rsid w:val="00352B03"/>
    <w:rsid w:val="00353A3C"/>
    <w:rsid w:val="00375066"/>
    <w:rsid w:val="00391202"/>
    <w:rsid w:val="003A24EC"/>
    <w:rsid w:val="003A770A"/>
    <w:rsid w:val="003B0449"/>
    <w:rsid w:val="003F3BD2"/>
    <w:rsid w:val="00404097"/>
    <w:rsid w:val="004105C3"/>
    <w:rsid w:val="004259EA"/>
    <w:rsid w:val="00427A32"/>
    <w:rsid w:val="004322F0"/>
    <w:rsid w:val="004567F2"/>
    <w:rsid w:val="00466378"/>
    <w:rsid w:val="004C6EF9"/>
    <w:rsid w:val="004E0BD2"/>
    <w:rsid w:val="004E7B94"/>
    <w:rsid w:val="00510D2B"/>
    <w:rsid w:val="005202D5"/>
    <w:rsid w:val="00535ACF"/>
    <w:rsid w:val="005609EC"/>
    <w:rsid w:val="00571D64"/>
    <w:rsid w:val="005737AD"/>
    <w:rsid w:val="005777BF"/>
    <w:rsid w:val="0059136E"/>
    <w:rsid w:val="005B45CC"/>
    <w:rsid w:val="005F2BDF"/>
    <w:rsid w:val="005F405E"/>
    <w:rsid w:val="0060062E"/>
    <w:rsid w:val="006062F3"/>
    <w:rsid w:val="00611BFF"/>
    <w:rsid w:val="00621B0E"/>
    <w:rsid w:val="00630037"/>
    <w:rsid w:val="0063207D"/>
    <w:rsid w:val="00641E9C"/>
    <w:rsid w:val="00645975"/>
    <w:rsid w:val="0065774F"/>
    <w:rsid w:val="0066680B"/>
    <w:rsid w:val="00672C53"/>
    <w:rsid w:val="00681CFA"/>
    <w:rsid w:val="00683A4B"/>
    <w:rsid w:val="006B1A69"/>
    <w:rsid w:val="006B24B7"/>
    <w:rsid w:val="006C51D2"/>
    <w:rsid w:val="006D1D63"/>
    <w:rsid w:val="006D6129"/>
    <w:rsid w:val="006E4063"/>
    <w:rsid w:val="00713A01"/>
    <w:rsid w:val="00721AE9"/>
    <w:rsid w:val="0072284C"/>
    <w:rsid w:val="00756643"/>
    <w:rsid w:val="007679C6"/>
    <w:rsid w:val="007873A0"/>
    <w:rsid w:val="007929E4"/>
    <w:rsid w:val="007A29E9"/>
    <w:rsid w:val="007A5F0E"/>
    <w:rsid w:val="007B2B05"/>
    <w:rsid w:val="007C2BDF"/>
    <w:rsid w:val="007C5775"/>
    <w:rsid w:val="007D4796"/>
    <w:rsid w:val="007D7A0D"/>
    <w:rsid w:val="007F4015"/>
    <w:rsid w:val="00806936"/>
    <w:rsid w:val="00816A24"/>
    <w:rsid w:val="0082007E"/>
    <w:rsid w:val="008232C9"/>
    <w:rsid w:val="008273EB"/>
    <w:rsid w:val="00833944"/>
    <w:rsid w:val="008513F6"/>
    <w:rsid w:val="00860E46"/>
    <w:rsid w:val="00865560"/>
    <w:rsid w:val="00867CA8"/>
    <w:rsid w:val="00883BB8"/>
    <w:rsid w:val="008970F8"/>
    <w:rsid w:val="008B3610"/>
    <w:rsid w:val="008B63F5"/>
    <w:rsid w:val="008D501D"/>
    <w:rsid w:val="008E2F6F"/>
    <w:rsid w:val="008E458F"/>
    <w:rsid w:val="008E4ABE"/>
    <w:rsid w:val="00911A10"/>
    <w:rsid w:val="0093128C"/>
    <w:rsid w:val="00954B00"/>
    <w:rsid w:val="009760A7"/>
    <w:rsid w:val="009837FA"/>
    <w:rsid w:val="009A5E0D"/>
    <w:rsid w:val="009B2016"/>
    <w:rsid w:val="00A00FB8"/>
    <w:rsid w:val="00A04FF7"/>
    <w:rsid w:val="00A106B0"/>
    <w:rsid w:val="00A13C13"/>
    <w:rsid w:val="00A417EB"/>
    <w:rsid w:val="00AB04F8"/>
    <w:rsid w:val="00AB3982"/>
    <w:rsid w:val="00AC5172"/>
    <w:rsid w:val="00AC5875"/>
    <w:rsid w:val="00AC7731"/>
    <w:rsid w:val="00AC7DBE"/>
    <w:rsid w:val="00AE3D1C"/>
    <w:rsid w:val="00AE6298"/>
    <w:rsid w:val="00B068A8"/>
    <w:rsid w:val="00B27CD1"/>
    <w:rsid w:val="00B33FA8"/>
    <w:rsid w:val="00B37449"/>
    <w:rsid w:val="00B47F54"/>
    <w:rsid w:val="00B71540"/>
    <w:rsid w:val="00B80C5E"/>
    <w:rsid w:val="00B84715"/>
    <w:rsid w:val="00BB2C46"/>
    <w:rsid w:val="00BC3653"/>
    <w:rsid w:val="00BF41A3"/>
    <w:rsid w:val="00C064D6"/>
    <w:rsid w:val="00C26C75"/>
    <w:rsid w:val="00C273AB"/>
    <w:rsid w:val="00C32166"/>
    <w:rsid w:val="00C34104"/>
    <w:rsid w:val="00C407FA"/>
    <w:rsid w:val="00C45C13"/>
    <w:rsid w:val="00C524E5"/>
    <w:rsid w:val="00C538DB"/>
    <w:rsid w:val="00C60DCD"/>
    <w:rsid w:val="00C7119D"/>
    <w:rsid w:val="00C92A75"/>
    <w:rsid w:val="00C92AC2"/>
    <w:rsid w:val="00C9548A"/>
    <w:rsid w:val="00CA2FF9"/>
    <w:rsid w:val="00CD1032"/>
    <w:rsid w:val="00CD52DD"/>
    <w:rsid w:val="00D14C00"/>
    <w:rsid w:val="00D21E57"/>
    <w:rsid w:val="00D76EC1"/>
    <w:rsid w:val="00D94D6F"/>
    <w:rsid w:val="00DA634F"/>
    <w:rsid w:val="00DC5643"/>
    <w:rsid w:val="00E14170"/>
    <w:rsid w:val="00E325E5"/>
    <w:rsid w:val="00E56145"/>
    <w:rsid w:val="00E5751B"/>
    <w:rsid w:val="00E667C2"/>
    <w:rsid w:val="00E67574"/>
    <w:rsid w:val="00E8583C"/>
    <w:rsid w:val="00EA6345"/>
    <w:rsid w:val="00EC1467"/>
    <w:rsid w:val="00EC44A9"/>
    <w:rsid w:val="00ED595C"/>
    <w:rsid w:val="00EF0CF1"/>
    <w:rsid w:val="00F256DF"/>
    <w:rsid w:val="00F27FD1"/>
    <w:rsid w:val="00F67AFB"/>
    <w:rsid w:val="00FC62A4"/>
    <w:rsid w:val="00FD346D"/>
    <w:rsid w:val="00FD75A1"/>
    <w:rsid w:val="00FE610E"/>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96B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A1"/>
    <w:pPr>
      <w:shd w:val="clear" w:color="auto" w:fill="FFFFFF"/>
      <w:spacing w:before="240" w:line="360" w:lineRule="auto"/>
    </w:pPr>
    <w:rPr>
      <w:rFonts w:ascii="Arial" w:eastAsia="Calibri" w:hAnsi="Arial" w:cs="Arial"/>
    </w:rPr>
  </w:style>
  <w:style w:type="paragraph" w:styleId="Heading1">
    <w:name w:val="heading 1"/>
    <w:basedOn w:val="Normal"/>
    <w:next w:val="Normal"/>
    <w:link w:val="Heading1Char"/>
    <w:uiPriority w:val="9"/>
    <w:qFormat/>
    <w:rsid w:val="00713A01"/>
    <w:pPr>
      <w:spacing w:after="240" w:line="240" w:lineRule="auto"/>
      <w:outlineLvl w:val="0"/>
    </w:pPr>
    <w:rPr>
      <w:rFonts w:ascii="Tahoma" w:eastAsia="Times New Roman" w:hAnsi="Tahoma" w:cs="Tahoma"/>
      <w:b/>
      <w:bCs/>
      <w:kern w:val="36"/>
      <w:sz w:val="32"/>
    </w:rPr>
  </w:style>
  <w:style w:type="paragraph" w:styleId="Heading2">
    <w:name w:val="heading 2"/>
    <w:basedOn w:val="Normal"/>
    <w:next w:val="Normal"/>
    <w:link w:val="Heading2Char"/>
    <w:uiPriority w:val="9"/>
    <w:unhideWhenUsed/>
    <w:qFormat/>
    <w:rsid w:val="0093128C"/>
    <w:pPr>
      <w:numPr>
        <w:numId w:val="3"/>
      </w:numPr>
      <w:spacing w:before="120" w:after="120"/>
      <w:outlineLvl w:val="1"/>
    </w:pPr>
    <w:rPr>
      <w:rFonts w:cs="Times New Roman"/>
      <w:sz w:val="36"/>
      <w:szCs w:val="36"/>
    </w:rPr>
  </w:style>
  <w:style w:type="paragraph" w:styleId="Heading3">
    <w:name w:val="heading 3"/>
    <w:basedOn w:val="Normal"/>
    <w:next w:val="Normal"/>
    <w:link w:val="Heading3Char"/>
    <w:uiPriority w:val="9"/>
    <w:unhideWhenUsed/>
    <w:qFormat/>
    <w:rsid w:val="0093128C"/>
    <w:pPr>
      <w:spacing w:before="120" w:after="120"/>
      <w:outlineLvl w:val="2"/>
    </w:pPr>
    <w:rPr>
      <w:rFonts w:cs="Times New Roman"/>
      <w:sz w:val="32"/>
      <w:szCs w:val="32"/>
    </w:rPr>
  </w:style>
  <w:style w:type="paragraph" w:styleId="Heading4">
    <w:name w:val="heading 4"/>
    <w:basedOn w:val="Normal"/>
    <w:next w:val="Normal"/>
    <w:link w:val="Heading4Char"/>
    <w:uiPriority w:val="9"/>
    <w:unhideWhenUsed/>
    <w:qFormat/>
    <w:rsid w:val="0093128C"/>
    <w:pPr>
      <w:outlineLvl w:val="3"/>
    </w:pPr>
    <w:rPr>
      <w:rFonts w:cs="Times New Roman"/>
      <w:sz w:val="28"/>
      <w:szCs w:val="28"/>
    </w:rPr>
  </w:style>
  <w:style w:type="paragraph" w:styleId="Heading5">
    <w:name w:val="heading 5"/>
    <w:basedOn w:val="Normal"/>
    <w:next w:val="Normal"/>
    <w:link w:val="Heading5Char"/>
    <w:uiPriority w:val="9"/>
    <w:unhideWhenUsed/>
    <w:qFormat/>
    <w:rsid w:val="0093128C"/>
    <w:pPr>
      <w:spacing w:before="120" w:after="120"/>
      <w:outlineLvl w:val="4"/>
    </w:pPr>
    <w:rPr>
      <w:rFonts w:cs="Times New Roman"/>
    </w:rPr>
  </w:style>
  <w:style w:type="paragraph" w:styleId="Heading6">
    <w:name w:val="heading 6"/>
    <w:basedOn w:val="Normal"/>
    <w:next w:val="Normal"/>
    <w:link w:val="Heading6Char"/>
    <w:uiPriority w:val="9"/>
    <w:unhideWhenUsed/>
    <w:qFormat/>
    <w:rsid w:val="0093128C"/>
    <w:pPr>
      <w:spacing w:before="120" w:after="120"/>
      <w:outlineLvl w:val="5"/>
    </w:pPr>
    <w:rPr>
      <w:rFonts w:cs="Times New Roman"/>
      <w:sz w:val="22"/>
      <w:szCs w:val="22"/>
    </w:rPr>
  </w:style>
  <w:style w:type="paragraph" w:styleId="Heading7">
    <w:name w:val="heading 7"/>
    <w:basedOn w:val="Normal"/>
    <w:next w:val="Normal"/>
    <w:link w:val="Heading7Char"/>
    <w:uiPriority w:val="9"/>
    <w:semiHidden/>
    <w:unhideWhenUsed/>
    <w:qFormat/>
    <w:rsid w:val="003A24E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01"/>
    <w:rPr>
      <w:rFonts w:ascii="Tahoma" w:eastAsia="Times New Roman" w:hAnsi="Tahoma" w:cs="Tahoma"/>
      <w:b/>
      <w:bCs/>
      <w:kern w:val="36"/>
      <w:sz w:val="32"/>
      <w:shd w:val="clear" w:color="auto" w:fill="FFFFFF"/>
    </w:rPr>
  </w:style>
  <w:style w:type="paragraph" w:styleId="ListParagraph">
    <w:name w:val="List Paragraph"/>
    <w:basedOn w:val="Normal"/>
    <w:uiPriority w:val="34"/>
    <w:qFormat/>
    <w:rsid w:val="00F67AFB"/>
    <w:pPr>
      <w:ind w:left="720"/>
      <w:contextualSpacing/>
    </w:pPr>
  </w:style>
  <w:style w:type="character" w:customStyle="1" w:styleId="Heading2Char">
    <w:name w:val="Heading 2 Char"/>
    <w:basedOn w:val="DefaultParagraphFont"/>
    <w:link w:val="Heading2"/>
    <w:uiPriority w:val="9"/>
    <w:rsid w:val="0093128C"/>
    <w:rPr>
      <w:rFonts w:ascii="Arial" w:eastAsia="Calibri" w:hAnsi="Arial" w:cs="Times New Roman"/>
      <w:sz w:val="36"/>
      <w:szCs w:val="36"/>
      <w:shd w:val="clear" w:color="auto" w:fill="FFFFFF"/>
    </w:rPr>
  </w:style>
  <w:style w:type="character" w:customStyle="1" w:styleId="Heading3Char">
    <w:name w:val="Heading 3 Char"/>
    <w:basedOn w:val="DefaultParagraphFont"/>
    <w:link w:val="Heading3"/>
    <w:uiPriority w:val="9"/>
    <w:rsid w:val="0093128C"/>
    <w:rPr>
      <w:rFonts w:cs="Times New Roman"/>
      <w:sz w:val="32"/>
      <w:szCs w:val="32"/>
    </w:rPr>
  </w:style>
  <w:style w:type="character" w:customStyle="1" w:styleId="Heading4Char">
    <w:name w:val="Heading 4 Char"/>
    <w:basedOn w:val="DefaultParagraphFont"/>
    <w:link w:val="Heading4"/>
    <w:uiPriority w:val="9"/>
    <w:rsid w:val="0093128C"/>
    <w:rPr>
      <w:rFonts w:cs="Times New Roman"/>
      <w:sz w:val="28"/>
      <w:szCs w:val="28"/>
    </w:rPr>
  </w:style>
  <w:style w:type="character" w:customStyle="1" w:styleId="Heading5Char">
    <w:name w:val="Heading 5 Char"/>
    <w:basedOn w:val="DefaultParagraphFont"/>
    <w:link w:val="Heading5"/>
    <w:uiPriority w:val="9"/>
    <w:rsid w:val="0093128C"/>
    <w:rPr>
      <w:rFonts w:cs="Times New Roman"/>
    </w:rPr>
  </w:style>
  <w:style w:type="character" w:customStyle="1" w:styleId="Heading6Char">
    <w:name w:val="Heading 6 Char"/>
    <w:basedOn w:val="DefaultParagraphFont"/>
    <w:link w:val="Heading6"/>
    <w:uiPriority w:val="9"/>
    <w:rsid w:val="0093128C"/>
    <w:rPr>
      <w:rFonts w:cs="Times New Roman"/>
      <w:sz w:val="22"/>
      <w:szCs w:val="22"/>
    </w:rPr>
  </w:style>
  <w:style w:type="character" w:customStyle="1" w:styleId="Heading7Char">
    <w:name w:val="Heading 7 Char"/>
    <w:basedOn w:val="DefaultParagraphFont"/>
    <w:link w:val="Heading7"/>
    <w:uiPriority w:val="9"/>
    <w:semiHidden/>
    <w:rsid w:val="003A24EC"/>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3A24EC"/>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3A24EC"/>
    <w:rPr>
      <w:rFonts w:asciiTheme="majorHAnsi" w:eastAsiaTheme="majorEastAsia" w:hAnsiTheme="majorHAnsi" w:cstheme="majorBidi"/>
      <w:i/>
      <w:iCs/>
      <w:color w:val="272727" w:themeColor="text1" w:themeTint="D8"/>
      <w:sz w:val="21"/>
      <w:szCs w:val="21"/>
      <w:shd w:val="clear" w:color="auto" w:fill="FFFFFF"/>
    </w:rPr>
  </w:style>
  <w:style w:type="numbering" w:customStyle="1" w:styleId="IPCRegulations">
    <w:name w:val="IPC Regulations"/>
    <w:uiPriority w:val="99"/>
    <w:rsid w:val="007C2BDF"/>
    <w:pPr>
      <w:numPr>
        <w:numId w:val="2"/>
      </w:numPr>
    </w:pPr>
  </w:style>
  <w:style w:type="paragraph" w:styleId="NormalWeb">
    <w:name w:val="Normal (Web)"/>
    <w:basedOn w:val="Normal"/>
    <w:uiPriority w:val="99"/>
    <w:semiHidden/>
    <w:unhideWhenUsed/>
    <w:rsid w:val="006D6129"/>
    <w:pPr>
      <w:spacing w:before="100" w:beforeAutospacing="1" w:after="100" w:afterAutospacing="1"/>
    </w:pPr>
    <w:rPr>
      <w:rFonts w:cs="Times New Roman"/>
    </w:rPr>
  </w:style>
  <w:style w:type="character" w:styleId="Hyperlink">
    <w:name w:val="Hyperlink"/>
    <w:basedOn w:val="DefaultParagraphFont"/>
    <w:uiPriority w:val="99"/>
    <w:unhideWhenUsed/>
    <w:rsid w:val="00630037"/>
    <w:rPr>
      <w:bCs/>
      <w:color w:val="D81E00"/>
      <w:u w:val="single"/>
    </w:rPr>
  </w:style>
  <w:style w:type="paragraph" w:styleId="Footer">
    <w:name w:val="footer"/>
    <w:basedOn w:val="Normal"/>
    <w:link w:val="FooterChar"/>
    <w:uiPriority w:val="99"/>
    <w:unhideWhenUsed/>
    <w:rsid w:val="00AC7DBE"/>
    <w:pPr>
      <w:tabs>
        <w:tab w:val="center" w:pos="4680"/>
        <w:tab w:val="right" w:pos="9360"/>
      </w:tabs>
      <w:spacing w:before="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DBE"/>
    <w:rPr>
      <w:sz w:val="22"/>
      <w:szCs w:val="22"/>
    </w:rPr>
  </w:style>
  <w:style w:type="paragraph" w:styleId="Header">
    <w:name w:val="header"/>
    <w:basedOn w:val="Normal"/>
    <w:link w:val="HeaderChar"/>
    <w:uiPriority w:val="99"/>
    <w:unhideWhenUsed/>
    <w:rsid w:val="00105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0523E"/>
    <w:rPr>
      <w:rFonts w:ascii="Arial" w:eastAsia="Calibri" w:hAnsi="Arial" w:cs="Arial"/>
      <w:shd w:val="clear" w:color="auto" w:fill="FFFFFF"/>
    </w:rPr>
  </w:style>
  <w:style w:type="character" w:styleId="Strong">
    <w:name w:val="Strong"/>
    <w:basedOn w:val="DefaultParagraphFont"/>
    <w:uiPriority w:val="22"/>
    <w:qFormat/>
    <w:rsid w:val="009A5E0D"/>
    <w:rPr>
      <w:b/>
      <w:bCs/>
    </w:rPr>
  </w:style>
  <w:style w:type="table" w:styleId="TableGrid">
    <w:name w:val="Table Grid"/>
    <w:basedOn w:val="TableNormal"/>
    <w:uiPriority w:val="39"/>
    <w:rsid w:val="00AE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CA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AB"/>
    <w:rPr>
      <w:rFonts w:ascii="Segoe UI" w:eastAsia="Calibr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02">
      <w:bodyDiv w:val="1"/>
      <w:marLeft w:val="0"/>
      <w:marRight w:val="0"/>
      <w:marTop w:val="0"/>
      <w:marBottom w:val="0"/>
      <w:divBdr>
        <w:top w:val="none" w:sz="0" w:space="0" w:color="auto"/>
        <w:left w:val="none" w:sz="0" w:space="0" w:color="auto"/>
        <w:bottom w:val="none" w:sz="0" w:space="0" w:color="auto"/>
        <w:right w:val="none" w:sz="0" w:space="0" w:color="auto"/>
      </w:divBdr>
    </w:div>
    <w:div w:id="44261890">
      <w:bodyDiv w:val="1"/>
      <w:marLeft w:val="0"/>
      <w:marRight w:val="0"/>
      <w:marTop w:val="0"/>
      <w:marBottom w:val="0"/>
      <w:divBdr>
        <w:top w:val="none" w:sz="0" w:space="0" w:color="auto"/>
        <w:left w:val="none" w:sz="0" w:space="0" w:color="auto"/>
        <w:bottom w:val="none" w:sz="0" w:space="0" w:color="auto"/>
        <w:right w:val="none" w:sz="0" w:space="0" w:color="auto"/>
      </w:divBdr>
    </w:div>
    <w:div w:id="86076972">
      <w:bodyDiv w:val="1"/>
      <w:marLeft w:val="0"/>
      <w:marRight w:val="0"/>
      <w:marTop w:val="0"/>
      <w:marBottom w:val="0"/>
      <w:divBdr>
        <w:top w:val="none" w:sz="0" w:space="0" w:color="auto"/>
        <w:left w:val="none" w:sz="0" w:space="0" w:color="auto"/>
        <w:bottom w:val="none" w:sz="0" w:space="0" w:color="auto"/>
        <w:right w:val="none" w:sz="0" w:space="0" w:color="auto"/>
      </w:divBdr>
    </w:div>
    <w:div w:id="151675803">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
    <w:div w:id="188101973">
      <w:bodyDiv w:val="1"/>
      <w:marLeft w:val="0"/>
      <w:marRight w:val="0"/>
      <w:marTop w:val="0"/>
      <w:marBottom w:val="0"/>
      <w:divBdr>
        <w:top w:val="none" w:sz="0" w:space="0" w:color="auto"/>
        <w:left w:val="none" w:sz="0" w:space="0" w:color="auto"/>
        <w:bottom w:val="none" w:sz="0" w:space="0" w:color="auto"/>
        <w:right w:val="none" w:sz="0" w:space="0" w:color="auto"/>
      </w:divBdr>
    </w:div>
    <w:div w:id="210728406">
      <w:bodyDiv w:val="1"/>
      <w:marLeft w:val="0"/>
      <w:marRight w:val="0"/>
      <w:marTop w:val="0"/>
      <w:marBottom w:val="0"/>
      <w:divBdr>
        <w:top w:val="none" w:sz="0" w:space="0" w:color="auto"/>
        <w:left w:val="none" w:sz="0" w:space="0" w:color="auto"/>
        <w:bottom w:val="none" w:sz="0" w:space="0" w:color="auto"/>
        <w:right w:val="none" w:sz="0" w:space="0" w:color="auto"/>
      </w:divBdr>
    </w:div>
    <w:div w:id="288317713">
      <w:bodyDiv w:val="1"/>
      <w:marLeft w:val="0"/>
      <w:marRight w:val="0"/>
      <w:marTop w:val="0"/>
      <w:marBottom w:val="0"/>
      <w:divBdr>
        <w:top w:val="none" w:sz="0" w:space="0" w:color="auto"/>
        <w:left w:val="none" w:sz="0" w:space="0" w:color="auto"/>
        <w:bottom w:val="none" w:sz="0" w:space="0" w:color="auto"/>
        <w:right w:val="none" w:sz="0" w:space="0" w:color="auto"/>
      </w:divBdr>
    </w:div>
    <w:div w:id="310059277">
      <w:bodyDiv w:val="1"/>
      <w:marLeft w:val="0"/>
      <w:marRight w:val="0"/>
      <w:marTop w:val="0"/>
      <w:marBottom w:val="0"/>
      <w:divBdr>
        <w:top w:val="none" w:sz="0" w:space="0" w:color="auto"/>
        <w:left w:val="none" w:sz="0" w:space="0" w:color="auto"/>
        <w:bottom w:val="none" w:sz="0" w:space="0" w:color="auto"/>
        <w:right w:val="none" w:sz="0" w:space="0" w:color="auto"/>
      </w:divBdr>
    </w:div>
    <w:div w:id="347105635">
      <w:bodyDiv w:val="1"/>
      <w:marLeft w:val="0"/>
      <w:marRight w:val="0"/>
      <w:marTop w:val="0"/>
      <w:marBottom w:val="0"/>
      <w:divBdr>
        <w:top w:val="none" w:sz="0" w:space="0" w:color="auto"/>
        <w:left w:val="none" w:sz="0" w:space="0" w:color="auto"/>
        <w:bottom w:val="none" w:sz="0" w:space="0" w:color="auto"/>
        <w:right w:val="none" w:sz="0" w:space="0" w:color="auto"/>
      </w:divBdr>
    </w:div>
    <w:div w:id="391738813">
      <w:bodyDiv w:val="1"/>
      <w:marLeft w:val="0"/>
      <w:marRight w:val="0"/>
      <w:marTop w:val="0"/>
      <w:marBottom w:val="0"/>
      <w:divBdr>
        <w:top w:val="none" w:sz="0" w:space="0" w:color="auto"/>
        <w:left w:val="none" w:sz="0" w:space="0" w:color="auto"/>
        <w:bottom w:val="none" w:sz="0" w:space="0" w:color="auto"/>
        <w:right w:val="none" w:sz="0" w:space="0" w:color="auto"/>
      </w:divBdr>
    </w:div>
    <w:div w:id="482237121">
      <w:bodyDiv w:val="1"/>
      <w:marLeft w:val="0"/>
      <w:marRight w:val="0"/>
      <w:marTop w:val="0"/>
      <w:marBottom w:val="0"/>
      <w:divBdr>
        <w:top w:val="none" w:sz="0" w:space="0" w:color="auto"/>
        <w:left w:val="none" w:sz="0" w:space="0" w:color="auto"/>
        <w:bottom w:val="none" w:sz="0" w:space="0" w:color="auto"/>
        <w:right w:val="none" w:sz="0" w:space="0" w:color="auto"/>
      </w:divBdr>
    </w:div>
    <w:div w:id="563954374">
      <w:bodyDiv w:val="1"/>
      <w:marLeft w:val="0"/>
      <w:marRight w:val="0"/>
      <w:marTop w:val="0"/>
      <w:marBottom w:val="0"/>
      <w:divBdr>
        <w:top w:val="none" w:sz="0" w:space="0" w:color="auto"/>
        <w:left w:val="none" w:sz="0" w:space="0" w:color="auto"/>
        <w:bottom w:val="none" w:sz="0" w:space="0" w:color="auto"/>
        <w:right w:val="none" w:sz="0" w:space="0" w:color="auto"/>
      </w:divBdr>
    </w:div>
    <w:div w:id="577521148">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4795648">
      <w:bodyDiv w:val="1"/>
      <w:marLeft w:val="0"/>
      <w:marRight w:val="0"/>
      <w:marTop w:val="0"/>
      <w:marBottom w:val="0"/>
      <w:divBdr>
        <w:top w:val="none" w:sz="0" w:space="0" w:color="auto"/>
        <w:left w:val="none" w:sz="0" w:space="0" w:color="auto"/>
        <w:bottom w:val="none" w:sz="0" w:space="0" w:color="auto"/>
        <w:right w:val="none" w:sz="0" w:space="0" w:color="auto"/>
      </w:divBdr>
    </w:div>
    <w:div w:id="815999362">
      <w:bodyDiv w:val="1"/>
      <w:marLeft w:val="0"/>
      <w:marRight w:val="0"/>
      <w:marTop w:val="0"/>
      <w:marBottom w:val="0"/>
      <w:divBdr>
        <w:top w:val="none" w:sz="0" w:space="0" w:color="auto"/>
        <w:left w:val="none" w:sz="0" w:space="0" w:color="auto"/>
        <w:bottom w:val="none" w:sz="0" w:space="0" w:color="auto"/>
        <w:right w:val="none" w:sz="0" w:space="0" w:color="auto"/>
      </w:divBdr>
    </w:div>
    <w:div w:id="822814385">
      <w:bodyDiv w:val="1"/>
      <w:marLeft w:val="0"/>
      <w:marRight w:val="0"/>
      <w:marTop w:val="0"/>
      <w:marBottom w:val="0"/>
      <w:divBdr>
        <w:top w:val="none" w:sz="0" w:space="0" w:color="auto"/>
        <w:left w:val="none" w:sz="0" w:space="0" w:color="auto"/>
        <w:bottom w:val="none" w:sz="0" w:space="0" w:color="auto"/>
        <w:right w:val="none" w:sz="0" w:space="0" w:color="auto"/>
      </w:divBdr>
    </w:div>
    <w:div w:id="885067373">
      <w:bodyDiv w:val="1"/>
      <w:marLeft w:val="0"/>
      <w:marRight w:val="0"/>
      <w:marTop w:val="0"/>
      <w:marBottom w:val="0"/>
      <w:divBdr>
        <w:top w:val="none" w:sz="0" w:space="0" w:color="auto"/>
        <w:left w:val="none" w:sz="0" w:space="0" w:color="auto"/>
        <w:bottom w:val="none" w:sz="0" w:space="0" w:color="auto"/>
        <w:right w:val="none" w:sz="0" w:space="0" w:color="auto"/>
      </w:divBdr>
    </w:div>
    <w:div w:id="891891993">
      <w:bodyDiv w:val="1"/>
      <w:marLeft w:val="0"/>
      <w:marRight w:val="0"/>
      <w:marTop w:val="0"/>
      <w:marBottom w:val="0"/>
      <w:divBdr>
        <w:top w:val="none" w:sz="0" w:space="0" w:color="auto"/>
        <w:left w:val="none" w:sz="0" w:space="0" w:color="auto"/>
        <w:bottom w:val="none" w:sz="0" w:space="0" w:color="auto"/>
        <w:right w:val="none" w:sz="0" w:space="0" w:color="auto"/>
      </w:divBdr>
    </w:div>
    <w:div w:id="989212561">
      <w:bodyDiv w:val="1"/>
      <w:marLeft w:val="0"/>
      <w:marRight w:val="0"/>
      <w:marTop w:val="0"/>
      <w:marBottom w:val="0"/>
      <w:divBdr>
        <w:top w:val="none" w:sz="0" w:space="0" w:color="auto"/>
        <w:left w:val="none" w:sz="0" w:space="0" w:color="auto"/>
        <w:bottom w:val="none" w:sz="0" w:space="0" w:color="auto"/>
        <w:right w:val="none" w:sz="0" w:space="0" w:color="auto"/>
      </w:divBdr>
    </w:div>
    <w:div w:id="1031104456">
      <w:bodyDiv w:val="1"/>
      <w:marLeft w:val="0"/>
      <w:marRight w:val="0"/>
      <w:marTop w:val="0"/>
      <w:marBottom w:val="0"/>
      <w:divBdr>
        <w:top w:val="none" w:sz="0" w:space="0" w:color="auto"/>
        <w:left w:val="none" w:sz="0" w:space="0" w:color="auto"/>
        <w:bottom w:val="none" w:sz="0" w:space="0" w:color="auto"/>
        <w:right w:val="none" w:sz="0" w:space="0" w:color="auto"/>
      </w:divBdr>
    </w:div>
    <w:div w:id="1037969124">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157186307">
      <w:bodyDiv w:val="1"/>
      <w:marLeft w:val="0"/>
      <w:marRight w:val="0"/>
      <w:marTop w:val="0"/>
      <w:marBottom w:val="0"/>
      <w:divBdr>
        <w:top w:val="none" w:sz="0" w:space="0" w:color="auto"/>
        <w:left w:val="none" w:sz="0" w:space="0" w:color="auto"/>
        <w:bottom w:val="none" w:sz="0" w:space="0" w:color="auto"/>
        <w:right w:val="none" w:sz="0" w:space="0" w:color="auto"/>
      </w:divBdr>
    </w:div>
    <w:div w:id="1293825875">
      <w:bodyDiv w:val="1"/>
      <w:marLeft w:val="0"/>
      <w:marRight w:val="0"/>
      <w:marTop w:val="0"/>
      <w:marBottom w:val="0"/>
      <w:divBdr>
        <w:top w:val="none" w:sz="0" w:space="0" w:color="auto"/>
        <w:left w:val="none" w:sz="0" w:space="0" w:color="auto"/>
        <w:bottom w:val="none" w:sz="0" w:space="0" w:color="auto"/>
        <w:right w:val="none" w:sz="0" w:space="0" w:color="auto"/>
      </w:divBdr>
    </w:div>
    <w:div w:id="1343817597">
      <w:bodyDiv w:val="1"/>
      <w:marLeft w:val="0"/>
      <w:marRight w:val="0"/>
      <w:marTop w:val="0"/>
      <w:marBottom w:val="0"/>
      <w:divBdr>
        <w:top w:val="none" w:sz="0" w:space="0" w:color="auto"/>
        <w:left w:val="none" w:sz="0" w:space="0" w:color="auto"/>
        <w:bottom w:val="none" w:sz="0" w:space="0" w:color="auto"/>
        <w:right w:val="none" w:sz="0" w:space="0" w:color="auto"/>
      </w:divBdr>
    </w:div>
    <w:div w:id="1419792153">
      <w:bodyDiv w:val="1"/>
      <w:marLeft w:val="0"/>
      <w:marRight w:val="0"/>
      <w:marTop w:val="0"/>
      <w:marBottom w:val="0"/>
      <w:divBdr>
        <w:top w:val="none" w:sz="0" w:space="0" w:color="auto"/>
        <w:left w:val="none" w:sz="0" w:space="0" w:color="auto"/>
        <w:bottom w:val="none" w:sz="0" w:space="0" w:color="auto"/>
        <w:right w:val="none" w:sz="0" w:space="0" w:color="auto"/>
      </w:divBdr>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40900571">
      <w:bodyDiv w:val="1"/>
      <w:marLeft w:val="0"/>
      <w:marRight w:val="0"/>
      <w:marTop w:val="0"/>
      <w:marBottom w:val="0"/>
      <w:divBdr>
        <w:top w:val="none" w:sz="0" w:space="0" w:color="auto"/>
        <w:left w:val="none" w:sz="0" w:space="0" w:color="auto"/>
        <w:bottom w:val="none" w:sz="0" w:space="0" w:color="auto"/>
        <w:right w:val="none" w:sz="0" w:space="0" w:color="auto"/>
      </w:divBdr>
      <w:divsChild>
        <w:div w:id="14964832">
          <w:marLeft w:val="0"/>
          <w:marRight w:val="0"/>
          <w:marTop w:val="0"/>
          <w:marBottom w:val="0"/>
          <w:divBdr>
            <w:top w:val="none" w:sz="0" w:space="0" w:color="auto"/>
            <w:left w:val="none" w:sz="0" w:space="0" w:color="auto"/>
            <w:bottom w:val="none" w:sz="0" w:space="0" w:color="auto"/>
            <w:right w:val="none" w:sz="0" w:space="0" w:color="auto"/>
          </w:divBdr>
          <w:divsChild>
            <w:div w:id="1660302163">
              <w:marLeft w:val="0"/>
              <w:marRight w:val="0"/>
              <w:marTop w:val="0"/>
              <w:marBottom w:val="0"/>
              <w:divBdr>
                <w:top w:val="none" w:sz="0" w:space="0" w:color="auto"/>
                <w:left w:val="none" w:sz="0" w:space="0" w:color="auto"/>
                <w:bottom w:val="none" w:sz="0" w:space="0" w:color="auto"/>
                <w:right w:val="none" w:sz="0" w:space="0" w:color="auto"/>
              </w:divBdr>
            </w:div>
          </w:divsChild>
        </w:div>
        <w:div w:id="1064989069">
          <w:marLeft w:val="0"/>
          <w:marRight w:val="0"/>
          <w:marTop w:val="0"/>
          <w:marBottom w:val="0"/>
          <w:divBdr>
            <w:top w:val="none" w:sz="0" w:space="0" w:color="auto"/>
            <w:left w:val="none" w:sz="0" w:space="0" w:color="auto"/>
            <w:bottom w:val="none" w:sz="0" w:space="0" w:color="auto"/>
            <w:right w:val="none" w:sz="0" w:space="0" w:color="auto"/>
          </w:divBdr>
          <w:divsChild>
            <w:div w:id="318466771">
              <w:marLeft w:val="0"/>
              <w:marRight w:val="0"/>
              <w:marTop w:val="0"/>
              <w:marBottom w:val="0"/>
              <w:divBdr>
                <w:top w:val="none" w:sz="0" w:space="0" w:color="auto"/>
                <w:left w:val="none" w:sz="0" w:space="0" w:color="auto"/>
                <w:bottom w:val="none" w:sz="0" w:space="0" w:color="auto"/>
                <w:right w:val="none" w:sz="0" w:space="0" w:color="auto"/>
              </w:divBdr>
              <w:divsChild>
                <w:div w:id="268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3044">
      <w:bodyDiv w:val="1"/>
      <w:marLeft w:val="0"/>
      <w:marRight w:val="0"/>
      <w:marTop w:val="0"/>
      <w:marBottom w:val="0"/>
      <w:divBdr>
        <w:top w:val="none" w:sz="0" w:space="0" w:color="auto"/>
        <w:left w:val="none" w:sz="0" w:space="0" w:color="auto"/>
        <w:bottom w:val="none" w:sz="0" w:space="0" w:color="auto"/>
        <w:right w:val="none" w:sz="0" w:space="0" w:color="auto"/>
      </w:divBdr>
      <w:divsChild>
        <w:div w:id="789318696">
          <w:marLeft w:val="0"/>
          <w:marRight w:val="0"/>
          <w:marTop w:val="0"/>
          <w:marBottom w:val="0"/>
          <w:divBdr>
            <w:top w:val="none" w:sz="0" w:space="0" w:color="auto"/>
            <w:left w:val="none" w:sz="0" w:space="0" w:color="auto"/>
            <w:bottom w:val="none" w:sz="0" w:space="0" w:color="auto"/>
            <w:right w:val="none" w:sz="0" w:space="0" w:color="auto"/>
          </w:divBdr>
          <w:divsChild>
            <w:div w:id="1678574750">
              <w:marLeft w:val="0"/>
              <w:marRight w:val="0"/>
              <w:marTop w:val="0"/>
              <w:marBottom w:val="0"/>
              <w:divBdr>
                <w:top w:val="none" w:sz="0" w:space="0" w:color="auto"/>
                <w:left w:val="none" w:sz="0" w:space="0" w:color="auto"/>
                <w:bottom w:val="none" w:sz="0" w:space="0" w:color="auto"/>
                <w:right w:val="none" w:sz="0" w:space="0" w:color="auto"/>
              </w:divBdr>
            </w:div>
          </w:divsChild>
        </w:div>
        <w:div w:id="117453376">
          <w:marLeft w:val="0"/>
          <w:marRight w:val="0"/>
          <w:marTop w:val="0"/>
          <w:marBottom w:val="0"/>
          <w:divBdr>
            <w:top w:val="none" w:sz="0" w:space="0" w:color="auto"/>
            <w:left w:val="none" w:sz="0" w:space="0" w:color="auto"/>
            <w:bottom w:val="none" w:sz="0" w:space="0" w:color="auto"/>
            <w:right w:val="none" w:sz="0" w:space="0" w:color="auto"/>
          </w:divBdr>
          <w:divsChild>
            <w:div w:id="823937469">
              <w:marLeft w:val="0"/>
              <w:marRight w:val="0"/>
              <w:marTop w:val="0"/>
              <w:marBottom w:val="0"/>
              <w:divBdr>
                <w:top w:val="none" w:sz="0" w:space="0" w:color="auto"/>
                <w:left w:val="none" w:sz="0" w:space="0" w:color="auto"/>
                <w:bottom w:val="none" w:sz="0" w:space="0" w:color="auto"/>
                <w:right w:val="none" w:sz="0" w:space="0" w:color="auto"/>
              </w:divBdr>
              <w:divsChild>
                <w:div w:id="958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288">
      <w:bodyDiv w:val="1"/>
      <w:marLeft w:val="0"/>
      <w:marRight w:val="0"/>
      <w:marTop w:val="0"/>
      <w:marBottom w:val="0"/>
      <w:divBdr>
        <w:top w:val="none" w:sz="0" w:space="0" w:color="auto"/>
        <w:left w:val="none" w:sz="0" w:space="0" w:color="auto"/>
        <w:bottom w:val="none" w:sz="0" w:space="0" w:color="auto"/>
        <w:right w:val="none" w:sz="0" w:space="0" w:color="auto"/>
      </w:divBdr>
    </w:div>
    <w:div w:id="1714383407">
      <w:bodyDiv w:val="1"/>
      <w:marLeft w:val="0"/>
      <w:marRight w:val="0"/>
      <w:marTop w:val="0"/>
      <w:marBottom w:val="0"/>
      <w:divBdr>
        <w:top w:val="none" w:sz="0" w:space="0" w:color="auto"/>
        <w:left w:val="none" w:sz="0" w:space="0" w:color="auto"/>
        <w:bottom w:val="none" w:sz="0" w:space="0" w:color="auto"/>
        <w:right w:val="none" w:sz="0" w:space="0" w:color="auto"/>
      </w:divBdr>
    </w:div>
    <w:div w:id="1771587902">
      <w:bodyDiv w:val="1"/>
      <w:marLeft w:val="0"/>
      <w:marRight w:val="0"/>
      <w:marTop w:val="0"/>
      <w:marBottom w:val="0"/>
      <w:divBdr>
        <w:top w:val="none" w:sz="0" w:space="0" w:color="auto"/>
        <w:left w:val="none" w:sz="0" w:space="0" w:color="auto"/>
        <w:bottom w:val="none" w:sz="0" w:space="0" w:color="auto"/>
        <w:right w:val="none" w:sz="0" w:space="0" w:color="auto"/>
      </w:divBdr>
    </w:div>
    <w:div w:id="1822651023">
      <w:bodyDiv w:val="1"/>
      <w:marLeft w:val="0"/>
      <w:marRight w:val="0"/>
      <w:marTop w:val="0"/>
      <w:marBottom w:val="0"/>
      <w:divBdr>
        <w:top w:val="none" w:sz="0" w:space="0" w:color="auto"/>
        <w:left w:val="none" w:sz="0" w:space="0" w:color="auto"/>
        <w:bottom w:val="none" w:sz="0" w:space="0" w:color="auto"/>
        <w:right w:val="none" w:sz="0" w:space="0" w:color="auto"/>
      </w:divBdr>
    </w:div>
    <w:div w:id="1872106502">
      <w:bodyDiv w:val="1"/>
      <w:marLeft w:val="0"/>
      <w:marRight w:val="0"/>
      <w:marTop w:val="0"/>
      <w:marBottom w:val="0"/>
      <w:divBdr>
        <w:top w:val="none" w:sz="0" w:space="0" w:color="auto"/>
        <w:left w:val="none" w:sz="0" w:space="0" w:color="auto"/>
        <w:bottom w:val="none" w:sz="0" w:space="0" w:color="auto"/>
        <w:right w:val="none" w:sz="0" w:space="0" w:color="auto"/>
      </w:divBdr>
    </w:div>
    <w:div w:id="1904901771">
      <w:bodyDiv w:val="1"/>
      <w:marLeft w:val="0"/>
      <w:marRight w:val="0"/>
      <w:marTop w:val="0"/>
      <w:marBottom w:val="0"/>
      <w:divBdr>
        <w:top w:val="none" w:sz="0" w:space="0" w:color="auto"/>
        <w:left w:val="none" w:sz="0" w:space="0" w:color="auto"/>
        <w:bottom w:val="none" w:sz="0" w:space="0" w:color="auto"/>
        <w:right w:val="none" w:sz="0" w:space="0" w:color="auto"/>
      </w:divBdr>
    </w:div>
    <w:div w:id="1922448496">
      <w:bodyDiv w:val="1"/>
      <w:marLeft w:val="0"/>
      <w:marRight w:val="0"/>
      <w:marTop w:val="0"/>
      <w:marBottom w:val="0"/>
      <w:divBdr>
        <w:top w:val="none" w:sz="0" w:space="0" w:color="auto"/>
        <w:left w:val="none" w:sz="0" w:space="0" w:color="auto"/>
        <w:bottom w:val="none" w:sz="0" w:space="0" w:color="auto"/>
        <w:right w:val="none" w:sz="0" w:space="0" w:color="auto"/>
      </w:divBdr>
    </w:div>
    <w:div w:id="1950579672">
      <w:bodyDiv w:val="1"/>
      <w:marLeft w:val="0"/>
      <w:marRight w:val="0"/>
      <w:marTop w:val="0"/>
      <w:marBottom w:val="0"/>
      <w:divBdr>
        <w:top w:val="none" w:sz="0" w:space="0" w:color="auto"/>
        <w:left w:val="none" w:sz="0" w:space="0" w:color="auto"/>
        <w:bottom w:val="none" w:sz="0" w:space="0" w:color="auto"/>
        <w:right w:val="none" w:sz="0" w:space="0" w:color="auto"/>
      </w:divBdr>
    </w:div>
    <w:div w:id="1969161246">
      <w:bodyDiv w:val="1"/>
      <w:marLeft w:val="0"/>
      <w:marRight w:val="0"/>
      <w:marTop w:val="0"/>
      <w:marBottom w:val="0"/>
      <w:divBdr>
        <w:top w:val="none" w:sz="0" w:space="0" w:color="auto"/>
        <w:left w:val="none" w:sz="0" w:space="0" w:color="auto"/>
        <w:bottom w:val="none" w:sz="0" w:space="0" w:color="auto"/>
        <w:right w:val="none" w:sz="0" w:space="0" w:color="auto"/>
      </w:divBdr>
    </w:div>
    <w:div w:id="1993481568">
      <w:bodyDiv w:val="1"/>
      <w:marLeft w:val="0"/>
      <w:marRight w:val="0"/>
      <w:marTop w:val="0"/>
      <w:marBottom w:val="0"/>
      <w:divBdr>
        <w:top w:val="none" w:sz="0" w:space="0" w:color="auto"/>
        <w:left w:val="none" w:sz="0" w:space="0" w:color="auto"/>
        <w:bottom w:val="none" w:sz="0" w:space="0" w:color="auto"/>
        <w:right w:val="none" w:sz="0" w:space="0" w:color="auto"/>
      </w:divBdr>
    </w:div>
    <w:div w:id="2080205260">
      <w:bodyDiv w:val="1"/>
      <w:marLeft w:val="0"/>
      <w:marRight w:val="0"/>
      <w:marTop w:val="0"/>
      <w:marBottom w:val="0"/>
      <w:divBdr>
        <w:top w:val="none" w:sz="0" w:space="0" w:color="auto"/>
        <w:left w:val="none" w:sz="0" w:space="0" w:color="auto"/>
        <w:bottom w:val="none" w:sz="0" w:space="0" w:color="auto"/>
        <w:right w:val="none" w:sz="0" w:space="0" w:color="auto"/>
      </w:divBdr>
    </w:div>
    <w:div w:id="2095977841">
      <w:bodyDiv w:val="1"/>
      <w:marLeft w:val="0"/>
      <w:marRight w:val="0"/>
      <w:marTop w:val="0"/>
      <w:marBottom w:val="0"/>
      <w:divBdr>
        <w:top w:val="none" w:sz="0" w:space="0" w:color="auto"/>
        <w:left w:val="none" w:sz="0" w:space="0" w:color="auto"/>
        <w:bottom w:val="none" w:sz="0" w:space="0" w:color="auto"/>
        <w:right w:val="none" w:sz="0" w:space="0" w:color="auto"/>
      </w:divBdr>
    </w:div>
    <w:div w:id="2115593437">
      <w:bodyDiv w:val="1"/>
      <w:marLeft w:val="0"/>
      <w:marRight w:val="0"/>
      <w:marTop w:val="0"/>
      <w:marBottom w:val="0"/>
      <w:divBdr>
        <w:top w:val="none" w:sz="0" w:space="0" w:color="auto"/>
        <w:left w:val="none" w:sz="0" w:space="0" w:color="auto"/>
        <w:bottom w:val="none" w:sz="0" w:space="0" w:color="auto"/>
        <w:right w:val="none" w:sz="0" w:space="0" w:color="auto"/>
      </w:divBdr>
    </w:div>
    <w:div w:id="211701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human-resources/5-300.php" TargetMode="External"/><Relationship Id="rId13" Type="http://schemas.openxmlformats.org/officeDocument/2006/relationships/hyperlink" Target="http://regulations.utah.edu/human-resources/5-201.php" TargetMode="External"/><Relationship Id="rId18" Type="http://schemas.openxmlformats.org/officeDocument/2006/relationships/hyperlink" Target="http://regulations.utah.edu/human-resources/rules/revisions/R5-200B.R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gulations.utah.edu/human-resources/5-200.php" TargetMode="External"/><Relationship Id="rId17" Type="http://schemas.openxmlformats.org/officeDocument/2006/relationships/hyperlink" Target="http://regulations.utah.edu/general/rules/R1-001.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ulations.utah.edu/human-resources/rules/rule_5-200A.php" TargetMode="External"/><Relationship Id="rId20" Type="http://schemas.openxmlformats.org/officeDocument/2006/relationships/hyperlink" Target="http://regulations.utah.edu/human-resources/rules/LegHist%20HR%20Regs%20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utah.edu/general/rules/R1-001.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regulations.utah.edu/human-resources/5-301.php" TargetMode="External"/><Relationship Id="rId23" Type="http://schemas.openxmlformats.org/officeDocument/2006/relationships/fontTable" Target="fontTable.xml"/><Relationship Id="rId10" Type="http://schemas.openxmlformats.org/officeDocument/2006/relationships/hyperlink" Target="http://www.regulations.utah.edu/general/1-001.html" TargetMode="External"/><Relationship Id="rId19" Type="http://schemas.openxmlformats.org/officeDocument/2006/relationships/hyperlink" Target="http://regulations.utah.edu/human-resources/appendices_5/rule_5-200B-Background.pdf" TargetMode="External"/><Relationship Id="rId4" Type="http://schemas.openxmlformats.org/officeDocument/2006/relationships/settings" Target="settings.xml"/><Relationship Id="rId9" Type="http://schemas.openxmlformats.org/officeDocument/2006/relationships/hyperlink" Target="http://regulations.utah.edu/human-resources/rules/rule_5-200A.php" TargetMode="External"/><Relationship Id="rId14" Type="http://schemas.openxmlformats.org/officeDocument/2006/relationships/hyperlink" Target="http://regulations.utah.edu/human-resources/5-300.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E8F84D-AE60-44D5-BFDD-8E2264AD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Rule 5-200B: Paid Time Off (PTO), Holidays, and Other Paid Leave for University of Utah Hospitals and Clinics Staff Members</vt:lpstr>
    </vt:vector>
  </TitlesOfParts>
  <Manager/>
  <Company/>
  <LinksUpToDate>false</LinksUpToDate>
  <CharactersWithSpaces>14568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5-200B: Paid Time Off (PTO), Holidays, and Other Paid Leave for University of Utah Hospitals and Clinics Staff Members</dc:title>
  <dc:subject/>
  <dc:creator>Microsoft Office User</dc:creator>
  <cp:keywords/>
  <dc:description/>
  <cp:lastModifiedBy>Dale Spartz</cp:lastModifiedBy>
  <cp:revision>2</cp:revision>
  <cp:lastPrinted>2018-02-02T15:02:00Z</cp:lastPrinted>
  <dcterms:created xsi:type="dcterms:W3CDTF">2018-04-05T21:08:00Z</dcterms:created>
  <dcterms:modified xsi:type="dcterms:W3CDTF">2018-04-05T21:08:00Z</dcterms:modified>
  <cp:category/>
</cp:coreProperties>
</file>