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20A72" w14:textId="77777777" w:rsidR="00CD0880" w:rsidRPr="00CD0880" w:rsidRDefault="00CD0880" w:rsidP="00CD0880">
      <w:pPr>
        <w:shd w:val="clear" w:color="auto" w:fill="FEFEFE"/>
        <w:spacing w:after="0" w:line="240" w:lineRule="auto"/>
        <w:jc w:val="center"/>
        <w:rPr>
          <w:rFonts w:ascii="Arial" w:eastAsia="Times New Roman" w:hAnsi="Arial" w:cs="Arial"/>
          <w:color w:val="757575"/>
          <w:sz w:val="27"/>
          <w:szCs w:val="27"/>
        </w:rPr>
      </w:pPr>
      <w:r w:rsidRPr="00CD0880">
        <w:rPr>
          <w:rFonts w:ascii="Calibri" w:eastAsia="Times New Roman" w:hAnsi="Calibri" w:cs="Calibri"/>
          <w:b/>
          <w:bCs/>
          <w:color w:val="1F497D"/>
          <w:sz w:val="36"/>
          <w:szCs w:val="36"/>
        </w:rPr>
        <w:t>Senate Vote on Divestment Investigation Committee Proposals</w:t>
      </w:r>
    </w:p>
    <w:p w14:paraId="1E2783FE" w14:textId="77777777" w:rsidR="00CD0880" w:rsidRPr="00CD0880" w:rsidRDefault="00CD0880" w:rsidP="00CD0880">
      <w:pPr>
        <w:shd w:val="clear" w:color="auto" w:fill="FEFEFE"/>
        <w:spacing w:after="0" w:line="240" w:lineRule="auto"/>
        <w:rPr>
          <w:rFonts w:ascii="Arial" w:eastAsia="Times New Roman" w:hAnsi="Arial" w:cs="Arial"/>
          <w:color w:val="757575"/>
          <w:sz w:val="27"/>
          <w:szCs w:val="27"/>
        </w:rPr>
      </w:pPr>
      <w:r w:rsidRPr="00CD0880">
        <w:rPr>
          <w:rFonts w:ascii="Arial" w:eastAsia="Times New Roman" w:hAnsi="Arial" w:cs="Arial"/>
          <w:color w:val="757575"/>
          <w:sz w:val="27"/>
          <w:szCs w:val="27"/>
        </w:rPr>
        <w:t> </w:t>
      </w:r>
    </w:p>
    <w:p w14:paraId="6CFF732C" w14:textId="77777777" w:rsidR="00CD0880" w:rsidRPr="00CD0880" w:rsidRDefault="00CD0880" w:rsidP="00CD0880">
      <w:pPr>
        <w:numPr>
          <w:ilvl w:val="0"/>
          <w:numId w:val="1"/>
        </w:numPr>
        <w:shd w:val="clear" w:color="auto" w:fill="FEFEFE"/>
        <w:spacing w:before="100" w:beforeAutospacing="1" w:after="100" w:afterAutospacing="1" w:line="240" w:lineRule="auto"/>
        <w:rPr>
          <w:rFonts w:ascii="Arial" w:eastAsia="Times New Roman" w:hAnsi="Arial" w:cs="Arial"/>
          <w:color w:val="757575"/>
          <w:sz w:val="27"/>
          <w:szCs w:val="27"/>
        </w:rPr>
      </w:pPr>
      <w:r w:rsidRPr="00CD0880">
        <w:rPr>
          <w:rFonts w:ascii="Arial" w:eastAsia="Times New Roman" w:hAnsi="Arial" w:cs="Arial"/>
          <w:color w:val="757575"/>
          <w:sz w:val="29"/>
          <w:szCs w:val="29"/>
        </w:rPr>
        <w:t>Review the options below that were presented at the April 27, 2020 Senate meeting</w:t>
      </w:r>
    </w:p>
    <w:p w14:paraId="1EF25F44" w14:textId="77777777" w:rsidR="00CD0880" w:rsidRPr="00CD0880" w:rsidRDefault="00CD0880" w:rsidP="00CD0880">
      <w:pPr>
        <w:numPr>
          <w:ilvl w:val="0"/>
          <w:numId w:val="1"/>
        </w:numPr>
        <w:shd w:val="clear" w:color="auto" w:fill="FEFEFE"/>
        <w:spacing w:before="100" w:beforeAutospacing="1" w:after="100" w:afterAutospacing="1" w:line="240" w:lineRule="auto"/>
        <w:rPr>
          <w:rFonts w:ascii="Arial" w:eastAsia="Times New Roman" w:hAnsi="Arial" w:cs="Arial"/>
          <w:color w:val="757575"/>
          <w:sz w:val="27"/>
          <w:szCs w:val="27"/>
        </w:rPr>
      </w:pPr>
      <w:r w:rsidRPr="00CD0880">
        <w:rPr>
          <w:rFonts w:ascii="Calibri" w:eastAsia="Times New Roman" w:hAnsi="Calibri" w:cs="Calibri"/>
          <w:color w:val="757575"/>
          <w:sz w:val="29"/>
          <w:szCs w:val="29"/>
        </w:rPr>
        <w:t>Visit </w:t>
      </w:r>
      <w:hyperlink r:id="rId5" w:tgtFrame="_blank" w:history="1">
        <w:r w:rsidRPr="00CD0880">
          <w:rPr>
            <w:rFonts w:ascii="Arial" w:eastAsia="Times New Roman" w:hAnsi="Arial" w:cs="Arial"/>
            <w:color w:val="007AC0"/>
            <w:sz w:val="29"/>
            <w:szCs w:val="29"/>
            <w:u w:val="single"/>
          </w:rPr>
          <w:t>https://utah.instructure.com/courses/51590/modules</w:t>
        </w:r>
      </w:hyperlink>
      <w:r w:rsidRPr="00CD0880">
        <w:rPr>
          <w:rFonts w:ascii="Arial" w:eastAsia="Times New Roman" w:hAnsi="Arial" w:cs="Arial"/>
          <w:color w:val="757575"/>
          <w:sz w:val="29"/>
          <w:szCs w:val="29"/>
        </w:rPr>
        <w:t> to refer to the materials presented </w:t>
      </w:r>
    </w:p>
    <w:p w14:paraId="533D65FB" w14:textId="77777777" w:rsidR="00CD0880" w:rsidRPr="00CD0880" w:rsidRDefault="00CD0880" w:rsidP="00CD0880">
      <w:pPr>
        <w:shd w:val="clear" w:color="auto" w:fill="FEFEFE"/>
        <w:spacing w:after="0" w:line="240" w:lineRule="auto"/>
        <w:rPr>
          <w:rFonts w:ascii="Arial" w:eastAsia="Times New Roman" w:hAnsi="Arial" w:cs="Arial"/>
          <w:color w:val="757575"/>
          <w:sz w:val="27"/>
          <w:szCs w:val="27"/>
        </w:rPr>
      </w:pPr>
      <w:r w:rsidRPr="00CD0880">
        <w:rPr>
          <w:rFonts w:ascii="Calibri" w:eastAsia="Times New Roman" w:hAnsi="Calibri" w:cs="Calibri"/>
          <w:b/>
          <w:bCs/>
          <w:color w:val="757575"/>
          <w:sz w:val="24"/>
          <w:szCs w:val="24"/>
        </w:rPr>
        <w:t>Option 1: Proposal to form a  special Senate committee:</w:t>
      </w:r>
      <w:r w:rsidRPr="00CD0880">
        <w:rPr>
          <w:rFonts w:ascii="Calibri" w:eastAsia="Times New Roman" w:hAnsi="Calibri" w:cs="Calibri"/>
          <w:color w:val="757575"/>
          <w:sz w:val="24"/>
          <w:szCs w:val="24"/>
        </w:rPr>
        <w:br/>
        <w:t>The proposal from student senator Rebecca Hardenbrook is to form a temporary special Senate committee, with members representing certain designated areas, including faculty, students, staff, and University offices. It includes representation from the existing Senate Advisory Committee on University Strategic Planning.  This proposal includes the charge of the committee for issues to study and a timeline to report back to the Senate with recommendations regarding divestment or other actions. The final membership, and the charge and timeline would be subject to adjustment by the Senate Executive Committee and then fine tuning by the Senate President.</w:t>
      </w:r>
      <w:r w:rsidRPr="00CD0880">
        <w:rPr>
          <w:rFonts w:ascii="Calibri" w:eastAsia="Times New Roman" w:hAnsi="Calibri" w:cs="Calibri"/>
          <w:color w:val="757575"/>
          <w:sz w:val="24"/>
          <w:szCs w:val="24"/>
        </w:rPr>
        <w:br/>
      </w:r>
      <w:r w:rsidRPr="00CD0880">
        <w:rPr>
          <w:rFonts w:ascii="Calibri" w:eastAsia="Times New Roman" w:hAnsi="Calibri" w:cs="Calibri"/>
          <w:color w:val="757575"/>
          <w:sz w:val="24"/>
          <w:szCs w:val="24"/>
        </w:rPr>
        <w:br/>
      </w:r>
      <w:r w:rsidRPr="00CD0880">
        <w:rPr>
          <w:rFonts w:ascii="Calibri" w:eastAsia="Times New Roman" w:hAnsi="Calibri" w:cs="Calibri"/>
          <w:b/>
          <w:bCs/>
          <w:color w:val="757575"/>
          <w:sz w:val="24"/>
          <w:szCs w:val="24"/>
        </w:rPr>
        <w:t>Option 2: Proposal to Assign to an existing Senate committee</w:t>
      </w:r>
      <w:r w:rsidRPr="00CD0880">
        <w:rPr>
          <w:rFonts w:ascii="Calibri" w:eastAsia="Times New Roman" w:hAnsi="Calibri" w:cs="Calibri"/>
          <w:color w:val="757575"/>
          <w:sz w:val="24"/>
          <w:szCs w:val="24"/>
        </w:rPr>
        <w:br/>
        <w:t>The proposal from faculty senator Pat Hanna is to not form a temporary special committee, but rather have the work assigned to the existing standing committee---the Senate Advisory Committee on University Strategic Planning, and to add to that existing committee some additional temporary members representing students and staff constituencies and expertise related to the divestment topic. </w:t>
      </w:r>
      <w:r w:rsidRPr="00CD0880">
        <w:rPr>
          <w:rFonts w:ascii="Calibri" w:eastAsia="Times New Roman" w:hAnsi="Calibri" w:cs="Calibri"/>
          <w:b/>
          <w:bCs/>
          <w:color w:val="757575"/>
          <w:sz w:val="24"/>
          <w:szCs w:val="24"/>
        </w:rPr>
        <w:t>The additional membership would be recommended by the Senate President and approved by the Senate Executive Committee.</w:t>
      </w:r>
      <w:r w:rsidRPr="00CD0880">
        <w:rPr>
          <w:rFonts w:ascii="Calibri" w:eastAsia="Times New Roman" w:hAnsi="Calibri" w:cs="Calibri"/>
          <w:color w:val="757575"/>
          <w:sz w:val="24"/>
          <w:szCs w:val="24"/>
        </w:rPr>
        <w:t> T</w:t>
      </w:r>
      <w:r w:rsidRPr="00CD0880">
        <w:rPr>
          <w:rFonts w:ascii="Calibri" w:eastAsia="Times New Roman" w:hAnsi="Calibri" w:cs="Calibri"/>
          <w:b/>
          <w:bCs/>
          <w:color w:val="757575"/>
          <w:sz w:val="24"/>
          <w:szCs w:val="24"/>
        </w:rPr>
        <w:t>he committee charge,  project timeline, and other details from the Hardenbrook proposal would generally be followed by this expanded existing committee, although subject to adjustment by the Senate Executive Committee and then fine-tuning by the Senate President.</w:t>
      </w:r>
      <w:r w:rsidRPr="00CD0880">
        <w:rPr>
          <w:rFonts w:ascii="Arial" w:eastAsia="Times New Roman" w:hAnsi="Arial" w:cs="Arial"/>
          <w:color w:val="757575"/>
          <w:sz w:val="24"/>
          <w:szCs w:val="24"/>
        </w:rPr>
        <w:br/>
      </w:r>
      <w:r w:rsidRPr="00CD0880">
        <w:rPr>
          <w:rFonts w:ascii="Arial" w:eastAsia="Times New Roman" w:hAnsi="Arial" w:cs="Arial"/>
          <w:color w:val="757575"/>
          <w:sz w:val="24"/>
          <w:szCs w:val="24"/>
        </w:rPr>
        <w:br/>
      </w:r>
      <w:r w:rsidRPr="00CD0880">
        <w:rPr>
          <w:rFonts w:ascii="Arial" w:eastAsia="Times New Roman" w:hAnsi="Arial" w:cs="Arial"/>
          <w:b/>
          <w:bCs/>
          <w:color w:val="757575"/>
          <w:sz w:val="24"/>
          <w:szCs w:val="24"/>
        </w:rPr>
        <w:t>Option 3: Take no action</w:t>
      </w:r>
      <w:r w:rsidRPr="00CD0880">
        <w:rPr>
          <w:rFonts w:ascii="Arial" w:eastAsia="Times New Roman" w:hAnsi="Arial" w:cs="Arial"/>
          <w:color w:val="757575"/>
          <w:sz w:val="24"/>
          <w:szCs w:val="24"/>
        </w:rPr>
        <w:br/>
      </w:r>
      <w:r w:rsidRPr="00CD0880">
        <w:rPr>
          <w:rFonts w:ascii="Calibri" w:eastAsia="Times New Roman" w:hAnsi="Calibri" w:cs="Calibri"/>
          <w:color w:val="757575"/>
          <w:sz w:val="24"/>
          <w:szCs w:val="24"/>
        </w:rPr>
        <w:t xml:space="preserve">There are three voting options. First, to approve the proposal for a study, to be conducted by a temporary special committee as proposed by Senator Hardenbrook.  Second, to approve the proposal for a </w:t>
      </w:r>
      <w:proofErr w:type="gramStart"/>
      <w:r w:rsidRPr="00CD0880">
        <w:rPr>
          <w:rFonts w:ascii="Calibri" w:eastAsia="Times New Roman" w:hAnsi="Calibri" w:cs="Calibri"/>
          <w:color w:val="757575"/>
          <w:sz w:val="24"/>
          <w:szCs w:val="24"/>
        </w:rPr>
        <w:t>study,  to</w:t>
      </w:r>
      <w:proofErr w:type="gramEnd"/>
      <w:r w:rsidRPr="00CD0880">
        <w:rPr>
          <w:rFonts w:ascii="Calibri" w:eastAsia="Times New Roman" w:hAnsi="Calibri" w:cs="Calibri"/>
          <w:color w:val="757575"/>
          <w:sz w:val="24"/>
          <w:szCs w:val="24"/>
        </w:rPr>
        <w:t xml:space="preserve"> be conducted by the expanded Senate Advisory Committee as proposed by Senator Hanna.  Third, for the Senate to </w:t>
      </w:r>
      <w:r w:rsidRPr="00CD0880">
        <w:rPr>
          <w:rFonts w:ascii="Calibri" w:eastAsia="Times New Roman" w:hAnsi="Calibri" w:cs="Calibri"/>
          <w:color w:val="757575"/>
          <w:sz w:val="24"/>
          <w:szCs w:val="24"/>
          <w:u w:val="single"/>
        </w:rPr>
        <w:t>take no action</w:t>
      </w:r>
      <w:r w:rsidRPr="00CD0880">
        <w:rPr>
          <w:rFonts w:ascii="Calibri" w:eastAsia="Times New Roman" w:hAnsi="Calibri" w:cs="Calibri"/>
          <w:color w:val="757575"/>
          <w:sz w:val="24"/>
          <w:szCs w:val="24"/>
        </w:rPr>
        <w:t> on the proposal for a study, such that no committee will be formed and no charge issued to any committee for studying the divestment issues at this time.</w:t>
      </w:r>
      <w:r w:rsidRPr="00CD0880">
        <w:rPr>
          <w:rFonts w:ascii="Arial" w:eastAsia="Times New Roman" w:hAnsi="Arial" w:cs="Arial"/>
          <w:color w:val="757575"/>
          <w:sz w:val="27"/>
          <w:szCs w:val="27"/>
        </w:rPr>
        <w:br/>
      </w:r>
      <w:r w:rsidRPr="00CD0880">
        <w:rPr>
          <w:rFonts w:ascii="Arial" w:eastAsia="Times New Roman" w:hAnsi="Arial" w:cs="Arial"/>
          <w:color w:val="757575"/>
          <w:sz w:val="27"/>
          <w:szCs w:val="27"/>
        </w:rPr>
        <w:br/>
        <w:t> </w:t>
      </w:r>
    </w:p>
    <w:p w14:paraId="01CB9B9D" w14:textId="77777777" w:rsidR="00CD0880" w:rsidRDefault="00CD0880" w:rsidP="00CD0880">
      <w:pPr>
        <w:shd w:val="clear" w:color="auto" w:fill="FEFEFE"/>
        <w:spacing w:after="0" w:line="360" w:lineRule="atLeast"/>
        <w:outlineLvl w:val="2"/>
        <w:rPr>
          <w:rFonts w:ascii="Calibri" w:eastAsia="Times New Roman" w:hAnsi="Calibri" w:cs="Calibri"/>
          <w:color w:val="1F497D"/>
        </w:rPr>
      </w:pPr>
    </w:p>
    <w:p w14:paraId="364862BE" w14:textId="77777777" w:rsidR="00CD0880" w:rsidRDefault="00CD0880" w:rsidP="00CD0880">
      <w:pPr>
        <w:shd w:val="clear" w:color="auto" w:fill="FEFEFE"/>
        <w:spacing w:after="0" w:line="360" w:lineRule="atLeast"/>
        <w:outlineLvl w:val="2"/>
        <w:rPr>
          <w:rFonts w:ascii="Calibri" w:eastAsia="Times New Roman" w:hAnsi="Calibri" w:cs="Calibri"/>
          <w:color w:val="1F497D"/>
        </w:rPr>
      </w:pPr>
    </w:p>
    <w:p w14:paraId="757E2373" w14:textId="1200D197" w:rsidR="00CD0880" w:rsidRPr="00CD0880" w:rsidRDefault="00CD0880" w:rsidP="00CD0880">
      <w:pPr>
        <w:shd w:val="clear" w:color="auto" w:fill="FEFEFE"/>
        <w:spacing w:after="0" w:line="360" w:lineRule="atLeast"/>
        <w:outlineLvl w:val="2"/>
        <w:rPr>
          <w:rFonts w:ascii="Arial" w:eastAsia="Times New Roman" w:hAnsi="Arial" w:cs="Arial"/>
          <w:color w:val="757575"/>
          <w:sz w:val="36"/>
          <w:szCs w:val="36"/>
        </w:rPr>
      </w:pPr>
      <w:r w:rsidRPr="00CD0880">
        <w:rPr>
          <w:rFonts w:ascii="Calibri" w:eastAsia="Times New Roman" w:hAnsi="Calibri" w:cs="Calibri"/>
          <w:color w:val="1F497D"/>
        </w:rPr>
        <w:lastRenderedPageBreak/>
        <w:t>VOTING INSTRUCTIONS: Vote for one:</w:t>
      </w:r>
    </w:p>
    <w:p w14:paraId="0322E7BF" w14:textId="39970D4E" w:rsidR="00CD0880" w:rsidRPr="00CD0880" w:rsidRDefault="00CD0880" w:rsidP="00CD0880">
      <w:pPr>
        <w:numPr>
          <w:ilvl w:val="0"/>
          <w:numId w:val="2"/>
        </w:numPr>
        <w:spacing w:after="0" w:line="240" w:lineRule="auto"/>
        <w:ind w:left="0"/>
        <w:rPr>
          <w:rFonts w:ascii="Arial" w:eastAsia="Times New Roman" w:hAnsi="Arial" w:cs="Arial"/>
          <w:color w:val="757575"/>
          <w:sz w:val="27"/>
          <w:szCs w:val="27"/>
        </w:rPr>
      </w:pPr>
      <w:r w:rsidRPr="00CD0880">
        <w:rPr>
          <w:rFonts w:ascii="Arial" w:eastAsia="Times New Roman" w:hAnsi="Arial" w:cs="Arial"/>
          <w:color w:val="757575"/>
          <w:sz w:val="27"/>
          <w:szCs w:val="27"/>
        </w:rPr>
        <w:object w:dxaOrig="225" w:dyaOrig="225" w14:anchorId="096D4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6" o:title=""/>
          </v:shape>
          <w:control r:id="rId7" w:name="DefaultOcxName" w:shapeid="_x0000_i1036"/>
        </w:object>
      </w:r>
      <w:r w:rsidRPr="00CD0880">
        <w:rPr>
          <w:rFonts w:ascii="Arial" w:eastAsia="Times New Roman" w:hAnsi="Arial" w:cs="Arial"/>
          <w:color w:val="757575"/>
          <w:sz w:val="27"/>
          <w:szCs w:val="27"/>
        </w:rPr>
        <w:t xml:space="preserve">1. Approve proposed study, charged to new special temporary committee as described in Sen. </w:t>
      </w:r>
      <w:proofErr w:type="spellStart"/>
      <w:r w:rsidRPr="00CD0880">
        <w:rPr>
          <w:rFonts w:ascii="Arial" w:eastAsia="Times New Roman" w:hAnsi="Arial" w:cs="Arial"/>
          <w:color w:val="757575"/>
          <w:sz w:val="27"/>
          <w:szCs w:val="27"/>
        </w:rPr>
        <w:t>Hardenbrook’s</w:t>
      </w:r>
      <w:proofErr w:type="spellEnd"/>
      <w:r w:rsidRPr="00CD0880">
        <w:rPr>
          <w:rFonts w:ascii="Arial" w:eastAsia="Times New Roman" w:hAnsi="Arial" w:cs="Arial"/>
          <w:color w:val="757575"/>
          <w:sz w:val="27"/>
          <w:szCs w:val="27"/>
        </w:rPr>
        <w:t xml:space="preserve"> proposal.</w:t>
      </w:r>
    </w:p>
    <w:p w14:paraId="6D212C54" w14:textId="3EDF69DB" w:rsidR="00CD0880" w:rsidRPr="00CD0880" w:rsidRDefault="00CD0880" w:rsidP="00CD0880">
      <w:pPr>
        <w:numPr>
          <w:ilvl w:val="0"/>
          <w:numId w:val="2"/>
        </w:numPr>
        <w:shd w:val="clear" w:color="auto" w:fill="FEFEFE"/>
        <w:spacing w:after="0" w:line="240" w:lineRule="auto"/>
        <w:ind w:left="0"/>
        <w:rPr>
          <w:rFonts w:ascii="Arial" w:eastAsia="Times New Roman" w:hAnsi="Arial" w:cs="Arial"/>
          <w:color w:val="757575"/>
          <w:sz w:val="27"/>
          <w:szCs w:val="27"/>
        </w:rPr>
      </w:pPr>
      <w:r w:rsidRPr="00CD0880">
        <w:rPr>
          <w:rFonts w:ascii="Arial" w:eastAsia="Times New Roman" w:hAnsi="Arial" w:cs="Arial"/>
          <w:color w:val="757575"/>
          <w:sz w:val="27"/>
          <w:szCs w:val="27"/>
        </w:rPr>
        <w:object w:dxaOrig="225" w:dyaOrig="225" w14:anchorId="3FA2AE73">
          <v:shape id="_x0000_i1035" type="#_x0000_t75" style="width:20.25pt;height:18pt" o:ole="">
            <v:imagedata r:id="rId6" o:title=""/>
          </v:shape>
          <w:control r:id="rId8" w:name="DefaultOcxName1" w:shapeid="_x0000_i1035"/>
        </w:object>
      </w:r>
      <w:r w:rsidRPr="00CD0880">
        <w:rPr>
          <w:rFonts w:ascii="Arial" w:eastAsia="Times New Roman" w:hAnsi="Arial" w:cs="Arial"/>
          <w:color w:val="757575"/>
          <w:sz w:val="27"/>
          <w:szCs w:val="27"/>
        </w:rPr>
        <w:t>2. Approve proposed study, assigned to expanded existing Senate Advisory Committee on University Strategic Planning (SACUSP + added membership), as described in Sen. Hanna’s proposal.</w:t>
      </w:r>
    </w:p>
    <w:p w14:paraId="2CAE7739" w14:textId="01B4EF22" w:rsidR="00CD0880" w:rsidRPr="00CD0880" w:rsidRDefault="00CD0880" w:rsidP="00CD0880">
      <w:pPr>
        <w:numPr>
          <w:ilvl w:val="0"/>
          <w:numId w:val="2"/>
        </w:numPr>
        <w:spacing w:after="0" w:line="240" w:lineRule="auto"/>
        <w:ind w:left="0"/>
        <w:rPr>
          <w:rFonts w:ascii="Arial" w:eastAsia="Times New Roman" w:hAnsi="Arial" w:cs="Arial"/>
          <w:color w:val="757575"/>
          <w:sz w:val="27"/>
          <w:szCs w:val="27"/>
        </w:rPr>
      </w:pPr>
      <w:r w:rsidRPr="00CD0880">
        <w:rPr>
          <w:rFonts w:ascii="Arial" w:eastAsia="Times New Roman" w:hAnsi="Arial" w:cs="Arial"/>
          <w:color w:val="757575"/>
          <w:sz w:val="27"/>
          <w:szCs w:val="27"/>
        </w:rPr>
        <w:object w:dxaOrig="225" w:dyaOrig="225" w14:anchorId="5F0B4AF1">
          <v:shape id="_x0000_i1034" type="#_x0000_t75" style="width:20.25pt;height:18pt" o:ole="">
            <v:imagedata r:id="rId6" o:title=""/>
          </v:shape>
          <w:control r:id="rId9" w:name="DefaultOcxName2" w:shapeid="_x0000_i1034"/>
        </w:object>
      </w:r>
      <w:r w:rsidRPr="00CD0880">
        <w:rPr>
          <w:rFonts w:ascii="Arial" w:eastAsia="Times New Roman" w:hAnsi="Arial" w:cs="Arial"/>
          <w:color w:val="757575"/>
          <w:sz w:val="27"/>
          <w:szCs w:val="27"/>
        </w:rPr>
        <w:t>3. Take no action at April 2020 Senate meeting--- no committee is formed or assigned to study divestment issues at this time.</w:t>
      </w:r>
    </w:p>
    <w:p w14:paraId="3C20950F" w14:textId="43280447" w:rsidR="00CD0880" w:rsidRPr="00CD0880" w:rsidRDefault="00CD0880" w:rsidP="00CD0880">
      <w:pPr>
        <w:numPr>
          <w:ilvl w:val="0"/>
          <w:numId w:val="2"/>
        </w:numPr>
        <w:shd w:val="clear" w:color="auto" w:fill="FEFEFE"/>
        <w:spacing w:after="0" w:line="240" w:lineRule="auto"/>
        <w:ind w:left="0"/>
        <w:rPr>
          <w:rFonts w:ascii="Arial" w:eastAsia="Times New Roman" w:hAnsi="Arial" w:cs="Arial"/>
          <w:color w:val="757575"/>
          <w:sz w:val="27"/>
          <w:szCs w:val="27"/>
        </w:rPr>
      </w:pPr>
      <w:r w:rsidRPr="00CD0880">
        <w:rPr>
          <w:rFonts w:ascii="Arial" w:eastAsia="Times New Roman" w:hAnsi="Arial" w:cs="Arial"/>
          <w:color w:val="757575"/>
          <w:sz w:val="27"/>
          <w:szCs w:val="27"/>
        </w:rPr>
        <w:object w:dxaOrig="225" w:dyaOrig="225" w14:anchorId="4F46DF3C">
          <v:shape id="_x0000_i1033" type="#_x0000_t75" style="width:20.25pt;height:18pt" o:ole="">
            <v:imagedata r:id="rId6" o:title=""/>
          </v:shape>
          <w:control r:id="rId10" w:name="DefaultOcxName3" w:shapeid="_x0000_i1033"/>
        </w:object>
      </w:r>
      <w:r w:rsidRPr="00CD0880">
        <w:rPr>
          <w:rFonts w:ascii="Arial" w:eastAsia="Times New Roman" w:hAnsi="Arial" w:cs="Arial"/>
          <w:color w:val="757575"/>
          <w:sz w:val="27"/>
          <w:szCs w:val="27"/>
        </w:rPr>
        <w:t>4. ABSTAIN.</w:t>
      </w:r>
    </w:p>
    <w:p w14:paraId="4635696E" w14:textId="77777777" w:rsidR="008077C5" w:rsidRDefault="008077C5"/>
    <w:sectPr w:rsidR="00807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72C5F"/>
    <w:multiLevelType w:val="multilevel"/>
    <w:tmpl w:val="D820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D15E4F"/>
    <w:multiLevelType w:val="multilevel"/>
    <w:tmpl w:val="8064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80"/>
    <w:rsid w:val="008077C5"/>
    <w:rsid w:val="00CD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A321"/>
  <w15:chartTrackingRefBased/>
  <w15:docId w15:val="{0AC2AE38-C58F-4613-8B9D-9F904057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0880"/>
    <w:rPr>
      <w:b/>
      <w:bCs/>
    </w:rPr>
  </w:style>
  <w:style w:type="character" w:styleId="Hyperlink">
    <w:name w:val="Hyperlink"/>
    <w:basedOn w:val="DefaultParagraphFont"/>
    <w:uiPriority w:val="99"/>
    <w:semiHidden/>
    <w:unhideWhenUsed/>
    <w:rsid w:val="00CD0880"/>
    <w:rPr>
      <w:color w:val="0000FF"/>
      <w:u w:val="single"/>
    </w:rPr>
  </w:style>
  <w:style w:type="paragraph" w:styleId="NormalWeb">
    <w:name w:val="Normal (Web)"/>
    <w:basedOn w:val="Normal"/>
    <w:uiPriority w:val="99"/>
    <w:semiHidden/>
    <w:unhideWhenUsed/>
    <w:rsid w:val="00CD0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
    <w:name w:val="selection"/>
    <w:basedOn w:val="Normal"/>
    <w:rsid w:val="00CD08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wrapper">
    <w:name w:val="labelwrapper"/>
    <w:basedOn w:val="DefaultParagraphFont"/>
    <w:rsid w:val="00CD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637266">
      <w:bodyDiv w:val="1"/>
      <w:marLeft w:val="0"/>
      <w:marRight w:val="0"/>
      <w:marTop w:val="0"/>
      <w:marBottom w:val="0"/>
      <w:divBdr>
        <w:top w:val="none" w:sz="0" w:space="0" w:color="auto"/>
        <w:left w:val="none" w:sz="0" w:space="0" w:color="auto"/>
        <w:bottom w:val="none" w:sz="0" w:space="0" w:color="auto"/>
        <w:right w:val="none" w:sz="0" w:space="0" w:color="auto"/>
      </w:divBdr>
      <w:divsChild>
        <w:div w:id="794786166">
          <w:marLeft w:val="0"/>
          <w:marRight w:val="0"/>
          <w:marTop w:val="0"/>
          <w:marBottom w:val="0"/>
          <w:divBdr>
            <w:top w:val="none" w:sz="0" w:space="0" w:color="auto"/>
            <w:left w:val="none" w:sz="0" w:space="0" w:color="auto"/>
            <w:bottom w:val="none" w:sz="0" w:space="0" w:color="auto"/>
            <w:right w:val="none" w:sz="0" w:space="0" w:color="auto"/>
          </w:divBdr>
          <w:divsChild>
            <w:div w:id="1405495093">
              <w:marLeft w:val="0"/>
              <w:marRight w:val="0"/>
              <w:marTop w:val="0"/>
              <w:marBottom w:val="0"/>
              <w:divBdr>
                <w:top w:val="none" w:sz="0" w:space="0" w:color="auto"/>
                <w:left w:val="none" w:sz="0" w:space="0" w:color="auto"/>
                <w:bottom w:val="none" w:sz="0" w:space="0" w:color="auto"/>
                <w:right w:val="none" w:sz="0" w:space="0" w:color="auto"/>
              </w:divBdr>
              <w:divsChild>
                <w:div w:id="483670019">
                  <w:marLeft w:val="0"/>
                  <w:marRight w:val="0"/>
                  <w:marTop w:val="0"/>
                  <w:marBottom w:val="0"/>
                  <w:divBdr>
                    <w:top w:val="none" w:sz="0" w:space="0" w:color="auto"/>
                    <w:left w:val="none" w:sz="0" w:space="0" w:color="auto"/>
                    <w:bottom w:val="none" w:sz="0" w:space="0" w:color="auto"/>
                    <w:right w:val="none" w:sz="0" w:space="0" w:color="auto"/>
                  </w:divBdr>
                  <w:divsChild>
                    <w:div w:id="9187516">
                      <w:marLeft w:val="0"/>
                      <w:marRight w:val="0"/>
                      <w:marTop w:val="0"/>
                      <w:marBottom w:val="0"/>
                      <w:divBdr>
                        <w:top w:val="none" w:sz="0" w:space="0" w:color="auto"/>
                        <w:left w:val="none" w:sz="0" w:space="0" w:color="auto"/>
                        <w:bottom w:val="none" w:sz="0" w:space="0" w:color="auto"/>
                        <w:right w:val="none" w:sz="0" w:space="0" w:color="auto"/>
                      </w:divBdr>
                      <w:divsChild>
                        <w:div w:id="1049307659">
                          <w:marLeft w:val="0"/>
                          <w:marRight w:val="0"/>
                          <w:marTop w:val="0"/>
                          <w:marBottom w:val="0"/>
                          <w:divBdr>
                            <w:top w:val="none" w:sz="0" w:space="0" w:color="auto"/>
                            <w:left w:val="none" w:sz="0" w:space="0" w:color="auto"/>
                            <w:bottom w:val="none" w:sz="0" w:space="0" w:color="auto"/>
                            <w:right w:val="none" w:sz="0" w:space="0" w:color="auto"/>
                          </w:divBdr>
                          <w:divsChild>
                            <w:div w:id="12608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62988">
                      <w:marLeft w:val="0"/>
                      <w:marRight w:val="0"/>
                      <w:marTop w:val="0"/>
                      <w:marBottom w:val="0"/>
                      <w:divBdr>
                        <w:top w:val="none" w:sz="0" w:space="0" w:color="auto"/>
                        <w:left w:val="none" w:sz="0" w:space="0" w:color="auto"/>
                        <w:bottom w:val="none" w:sz="0" w:space="0" w:color="auto"/>
                        <w:right w:val="none" w:sz="0" w:space="0" w:color="auto"/>
                      </w:divBdr>
                      <w:divsChild>
                        <w:div w:id="951010801">
                          <w:marLeft w:val="0"/>
                          <w:marRight w:val="0"/>
                          <w:marTop w:val="0"/>
                          <w:marBottom w:val="0"/>
                          <w:divBdr>
                            <w:top w:val="none" w:sz="0" w:space="0" w:color="auto"/>
                            <w:left w:val="none" w:sz="0" w:space="0" w:color="auto"/>
                            <w:bottom w:val="none" w:sz="0" w:space="0" w:color="auto"/>
                            <w:right w:val="none" w:sz="0" w:space="0" w:color="auto"/>
                          </w:divBdr>
                          <w:divsChild>
                            <w:div w:id="7953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4261">
                      <w:marLeft w:val="0"/>
                      <w:marRight w:val="0"/>
                      <w:marTop w:val="0"/>
                      <w:marBottom w:val="0"/>
                      <w:divBdr>
                        <w:top w:val="none" w:sz="0" w:space="0" w:color="auto"/>
                        <w:left w:val="none" w:sz="0" w:space="0" w:color="auto"/>
                        <w:bottom w:val="none" w:sz="0" w:space="0" w:color="auto"/>
                        <w:right w:val="none" w:sz="0" w:space="0" w:color="auto"/>
                      </w:divBdr>
                      <w:divsChild>
                        <w:div w:id="1226643899">
                          <w:marLeft w:val="0"/>
                          <w:marRight w:val="0"/>
                          <w:marTop w:val="0"/>
                          <w:marBottom w:val="0"/>
                          <w:divBdr>
                            <w:top w:val="none" w:sz="0" w:space="0" w:color="auto"/>
                            <w:left w:val="none" w:sz="0" w:space="0" w:color="auto"/>
                            <w:bottom w:val="none" w:sz="0" w:space="0" w:color="auto"/>
                            <w:right w:val="none" w:sz="0" w:space="0" w:color="auto"/>
                          </w:divBdr>
                          <w:divsChild>
                            <w:div w:id="1053237752">
                              <w:marLeft w:val="0"/>
                              <w:marRight w:val="0"/>
                              <w:marTop w:val="0"/>
                              <w:marBottom w:val="0"/>
                              <w:divBdr>
                                <w:top w:val="none" w:sz="0" w:space="0" w:color="auto"/>
                                <w:left w:val="none" w:sz="0" w:space="0" w:color="auto"/>
                                <w:bottom w:val="none" w:sz="0" w:space="0" w:color="auto"/>
                                <w:right w:val="none" w:sz="0" w:space="0" w:color="auto"/>
                              </w:divBdr>
                              <w:divsChild>
                                <w:div w:id="107048016">
                                  <w:marLeft w:val="0"/>
                                  <w:marRight w:val="0"/>
                                  <w:marTop w:val="0"/>
                                  <w:marBottom w:val="0"/>
                                  <w:divBdr>
                                    <w:top w:val="none" w:sz="0" w:space="0" w:color="auto"/>
                                    <w:left w:val="none" w:sz="0" w:space="0" w:color="auto"/>
                                    <w:bottom w:val="none" w:sz="0" w:space="0" w:color="auto"/>
                                    <w:right w:val="none" w:sz="0" w:space="0" w:color="auto"/>
                                  </w:divBdr>
                                </w:div>
                                <w:div w:id="7416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hyperlink" Target="https://utah.instructure.com/courses/51590/modules" TargetMode="Externa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Laird</dc:creator>
  <cp:keywords/>
  <dc:description/>
  <cp:lastModifiedBy>Jane Laird</cp:lastModifiedBy>
  <cp:revision>1</cp:revision>
  <dcterms:created xsi:type="dcterms:W3CDTF">2020-04-28T17:22:00Z</dcterms:created>
  <dcterms:modified xsi:type="dcterms:W3CDTF">2020-04-28T17:24:00Z</dcterms:modified>
</cp:coreProperties>
</file>