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EF08C" w14:textId="77777777" w:rsidR="001F5973" w:rsidRDefault="006F2713">
      <w:pPr>
        <w:spacing w:after="5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Divestment:</w:t>
      </w:r>
    </w:p>
    <w:p w14:paraId="350F006E" w14:textId="77777777" w:rsidR="001F5973" w:rsidRDefault="006F2713">
      <w:pPr>
        <w:spacing w:after="5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 proposed approach to the issues </w:t>
      </w:r>
    </w:p>
    <w:p w14:paraId="1B904013" w14:textId="77777777" w:rsidR="001F5973" w:rsidRDefault="001F5973">
      <w:pPr>
        <w:jc w:val="center"/>
        <w:rPr>
          <w:color w:val="000000"/>
        </w:rPr>
      </w:pPr>
    </w:p>
    <w:p w14:paraId="07F6D0A7" w14:textId="253E3538" w:rsidR="001F5973" w:rsidRDefault="006F2713">
      <w:pPr>
        <w:spacing w:after="283"/>
      </w:pPr>
      <w:proofErr w:type="gramStart"/>
      <w:r>
        <w:rPr>
          <w:color w:val="000000"/>
        </w:rPr>
        <w:t>I am very supportive</w:t>
      </w:r>
      <w:proofErr w:type="gramEnd"/>
      <w:r>
        <w:rPr>
          <w:color w:val="000000"/>
        </w:rPr>
        <w:t xml:space="preserve"> of the student initiative to reexamine the University's investment strategies and explore ways of bringing this into alignment with our institutional commitments to sustainability and to reducing the impact of man-made climate change. </w:t>
      </w:r>
      <w:r>
        <w:rPr>
          <w:color w:val="000000"/>
        </w:rPr>
        <w:t xml:space="preserve"> However, I do not believe that formation of a new committee is the best way to proceed. </w:t>
      </w:r>
      <w:r>
        <w:rPr>
          <w:color w:val="000000"/>
        </w:rPr>
        <w:t xml:space="preserve">The option I am offering is for the </w:t>
      </w:r>
      <w:proofErr w:type="gramStart"/>
      <w:r>
        <w:rPr>
          <w:color w:val="000000"/>
        </w:rPr>
        <w:t>Senate  to</w:t>
      </w:r>
      <w:proofErr w:type="gramEnd"/>
      <w:r>
        <w:rPr>
          <w:color w:val="000000"/>
        </w:rPr>
        <w:t xml:space="preserve"> use existing mechanisms to advance the discussion of these issues.</w:t>
      </w:r>
      <w:r>
        <w:rPr>
          <w:color w:val="000000"/>
        </w:rPr>
        <w:t xml:space="preserve"> My reasons are as follows:</w:t>
      </w:r>
    </w:p>
    <w:p w14:paraId="22AF4F8A" w14:textId="77777777" w:rsidR="001F5973" w:rsidRDefault="006F2713">
      <w:pPr>
        <w:pStyle w:val="BodyText"/>
        <w:numPr>
          <w:ilvl w:val="0"/>
          <w:numId w:val="2"/>
        </w:numPr>
        <w:tabs>
          <w:tab w:val="left" w:pos="707"/>
        </w:tabs>
      </w:pPr>
      <w:r>
        <w:rPr>
          <w:b/>
          <w:bCs/>
          <w:color w:val="000000"/>
        </w:rPr>
        <w:t>Problems with new committees</w:t>
      </w:r>
      <w:r>
        <w:rPr>
          <w:color w:val="000000"/>
        </w:rPr>
        <w:t>.</w:t>
      </w:r>
    </w:p>
    <w:p w14:paraId="3A8B35CD" w14:textId="00C94897" w:rsidR="001F5973" w:rsidRDefault="006F2713">
      <w:pPr>
        <w:pStyle w:val="BodyText"/>
        <w:numPr>
          <w:ilvl w:val="0"/>
          <w:numId w:val="3"/>
        </w:numPr>
        <w:spacing w:after="0"/>
      </w:pPr>
      <w:r>
        <w:rPr>
          <w:color w:val="000000"/>
        </w:rPr>
        <w:t xml:space="preserve">In </w:t>
      </w:r>
      <w:proofErr w:type="gramStart"/>
      <w:r>
        <w:rPr>
          <w:color w:val="000000"/>
        </w:rPr>
        <w:t>general</w:t>
      </w:r>
      <w:proofErr w:type="gramEnd"/>
      <w:r>
        <w:rPr>
          <w:color w:val="000000"/>
        </w:rPr>
        <w:t xml:space="preserve"> there is the matter of staffing any committee, standing or </w:t>
      </w:r>
      <w:r>
        <w:rPr>
          <w:i/>
          <w:iCs/>
          <w:color w:val="000000"/>
        </w:rPr>
        <w:t>ad hoc</w:t>
      </w:r>
      <w:r>
        <w:rPr>
          <w:color w:val="000000"/>
        </w:rPr>
        <w:t>.  The Senate has a long history of preparing a sl</w:t>
      </w:r>
      <w:r>
        <w:rPr>
          <w:color w:val="000000"/>
        </w:rPr>
        <w:t>ate of candidates for standing committees: this history demonstrates that it is a challenging task, even when the committee is one with a long history and a well-defined charter</w:t>
      </w:r>
      <w:proofErr w:type="gramStart"/>
      <w:r>
        <w:rPr>
          <w:color w:val="000000"/>
        </w:rPr>
        <w:t xml:space="preserve">.  </w:t>
      </w:r>
      <w:proofErr w:type="gramEnd"/>
      <w:r>
        <w:rPr>
          <w:color w:val="000000"/>
        </w:rPr>
        <w:t>Finding people willing to serve on a new committee of the Senate is unlikely</w:t>
      </w:r>
      <w:r>
        <w:rPr>
          <w:color w:val="000000"/>
        </w:rPr>
        <w:t xml:space="preserve"> to be any easier and much less for a committee, that as some EC </w:t>
      </w:r>
      <w:r>
        <w:rPr>
          <w:color w:val="000000"/>
        </w:rPr>
        <w:t>members remarked, should have a broad representation, including those that may be adversely affected by the actions being taken. </w:t>
      </w:r>
    </w:p>
    <w:p w14:paraId="099BDD0E" w14:textId="77777777" w:rsidR="001F5973" w:rsidRDefault="006F2713">
      <w:pPr>
        <w:pStyle w:val="BodyText"/>
        <w:numPr>
          <w:ilvl w:val="0"/>
          <w:numId w:val="3"/>
        </w:numPr>
        <w:spacing w:after="0"/>
      </w:pPr>
      <w:r>
        <w:rPr>
          <w:color w:val="000000"/>
        </w:rPr>
        <w:t>In a case like this, we are not looking at a s</w:t>
      </w:r>
      <w:r>
        <w:rPr>
          <w:color w:val="000000"/>
        </w:rPr>
        <w:t xml:space="preserve">tanding committee. Therefore, we would be proposing the creation of an </w:t>
      </w:r>
      <w:r>
        <w:rPr>
          <w:i/>
          <w:iCs/>
          <w:color w:val="000000"/>
        </w:rPr>
        <w:t>ad hoc</w:t>
      </w:r>
      <w:r>
        <w:rPr>
          <w:color w:val="000000"/>
        </w:rPr>
        <w:t xml:space="preserve"> committee or a task force.</w:t>
      </w:r>
    </w:p>
    <w:p w14:paraId="3B7C24EC" w14:textId="77777777" w:rsidR="001F5973" w:rsidRDefault="006F2713">
      <w:pPr>
        <w:pStyle w:val="BodyText"/>
        <w:numPr>
          <w:ilvl w:val="0"/>
          <w:numId w:val="3"/>
        </w:numPr>
        <w:spacing w:after="0"/>
      </w:pPr>
      <w:r>
        <w:rPr>
          <w:color w:val="000000"/>
        </w:rPr>
        <w:t>While such groups can be effective, </w:t>
      </w:r>
      <w:proofErr w:type="gramStart"/>
      <w:r>
        <w:rPr>
          <w:color w:val="000000"/>
        </w:rPr>
        <w:t>in order to</w:t>
      </w:r>
      <w:proofErr w:type="gramEnd"/>
      <w:r>
        <w:rPr>
          <w:color w:val="000000"/>
        </w:rPr>
        <w:t xml:space="preserve"> be effective, it is essential that the committee be formed by and report to the agency that actually ha</w:t>
      </w:r>
      <w:r>
        <w:rPr>
          <w:color w:val="000000"/>
        </w:rPr>
        <w:t>s the power to effect change. In this case, that would have to be the President of the University. </w:t>
      </w:r>
    </w:p>
    <w:p w14:paraId="24A14C79" w14:textId="77777777" w:rsidR="001F5973" w:rsidRDefault="006F2713">
      <w:pPr>
        <w:pStyle w:val="BodyText"/>
        <w:numPr>
          <w:ilvl w:val="0"/>
          <w:numId w:val="3"/>
        </w:numPr>
      </w:pPr>
      <w:r>
        <w:rPr>
          <w:color w:val="000000"/>
        </w:rPr>
        <w:t xml:space="preserve">At most, the Senate can ask that such a committee formed. While the President might ask for the Senate's help in populating the committee's membership, the </w:t>
      </w:r>
      <w:r>
        <w:rPr>
          <w:color w:val="000000"/>
        </w:rPr>
        <w:t xml:space="preserve">ultimate decisions on this, and on the </w:t>
      </w:r>
      <w:proofErr w:type="gramStart"/>
      <w:r>
        <w:rPr>
          <w:color w:val="000000"/>
        </w:rPr>
        <w:t>manner in which</w:t>
      </w:r>
      <w:proofErr w:type="gramEnd"/>
      <w:r>
        <w:rPr>
          <w:color w:val="000000"/>
        </w:rPr>
        <w:t xml:space="preserve"> the agenda is pursed will not be in our hands. </w:t>
      </w:r>
    </w:p>
    <w:p w14:paraId="5AFF9685" w14:textId="77777777" w:rsidR="001F5973" w:rsidRDefault="006F2713">
      <w:pPr>
        <w:pStyle w:val="BodyText"/>
        <w:numPr>
          <w:ilvl w:val="0"/>
          <w:numId w:val="2"/>
        </w:numPr>
        <w:tabs>
          <w:tab w:val="left" w:pos="707"/>
        </w:tabs>
        <w:rPr>
          <w:b/>
          <w:bCs/>
        </w:rPr>
      </w:pPr>
      <w:r>
        <w:rPr>
          <w:b/>
          <w:bCs/>
          <w:color w:val="000000"/>
        </w:rPr>
        <w:t>Senate oversight.</w:t>
      </w:r>
    </w:p>
    <w:p w14:paraId="1A3E60FB" w14:textId="77777777" w:rsidR="001F5973" w:rsidRDefault="006F2713">
      <w:pPr>
        <w:pStyle w:val="BodyText"/>
        <w:numPr>
          <w:ilvl w:val="0"/>
          <w:numId w:val="4"/>
        </w:numPr>
      </w:pPr>
      <w:r>
        <w:rPr>
          <w:color w:val="000000"/>
        </w:rPr>
        <w:t>If we want the Senate to have a role in ensuring a meaningful discussion of the issues, and in providing some assurance that the substa</w:t>
      </w:r>
      <w:r>
        <w:rPr>
          <w:color w:val="000000"/>
        </w:rPr>
        <w:t>nce of this discussion reaches the highest levels of the administration, our best option is to use an existing Senate committee.  As a Senate committee, we can help set the agenda, and through reports to the Senate, we can follow the progress and offer sug</w:t>
      </w:r>
      <w:r>
        <w:rPr>
          <w:color w:val="000000"/>
        </w:rPr>
        <w:t>gestions to the committee on how to keep moving forward</w:t>
      </w:r>
      <w:proofErr w:type="gramStart"/>
      <w:r>
        <w:rPr>
          <w:color w:val="000000"/>
        </w:rPr>
        <w:t xml:space="preserve">.  </w:t>
      </w:r>
      <w:proofErr w:type="gramEnd"/>
    </w:p>
    <w:p w14:paraId="661B4FE7" w14:textId="7A765911" w:rsidR="001F5973" w:rsidRDefault="006F2713">
      <w:pPr>
        <w:pStyle w:val="BodyText"/>
        <w:numPr>
          <w:ilvl w:val="0"/>
          <w:numId w:val="4"/>
        </w:numPr>
      </w:pPr>
      <w:r>
        <w:rPr>
          <w:color w:val="000000"/>
        </w:rPr>
        <w:t>The only missing piece is getting the information to the appropriate level of university administration</w:t>
      </w:r>
      <w:proofErr w:type="gramStart"/>
      <w:r>
        <w:rPr>
          <w:color w:val="000000"/>
        </w:rPr>
        <w:t xml:space="preserve">.  </w:t>
      </w:r>
      <w:proofErr w:type="gramEnd"/>
      <w:r>
        <w:rPr>
          <w:color w:val="000000"/>
        </w:rPr>
        <w:t xml:space="preserve">Luckily, we have a committee that is positioned to do just this. The newly constituted </w:t>
      </w:r>
      <w:r>
        <w:rPr>
          <w:color w:val="000000"/>
        </w:rPr>
        <w:t>Sena</w:t>
      </w:r>
      <w:r>
        <w:rPr>
          <w:color w:val="000000"/>
        </w:rPr>
        <w:t xml:space="preserve">te Advisory Committee for University </w:t>
      </w:r>
      <w:r>
        <w:rPr>
          <w:color w:val="000000"/>
        </w:rPr>
        <w:t xml:space="preserve">Strategic Planning </w:t>
      </w:r>
      <w:r>
        <w:rPr>
          <w:color w:val="000000"/>
        </w:rPr>
        <w:t xml:space="preserve">(SACUSP) is perfectly positioned to do this. It was developed in consultation with the </w:t>
      </w:r>
      <w:proofErr w:type="gramStart"/>
      <w:r>
        <w:rPr>
          <w:color w:val="000000"/>
        </w:rPr>
        <w:t>president, and</w:t>
      </w:r>
      <w:proofErr w:type="gramEnd"/>
      <w:r>
        <w:rPr>
          <w:color w:val="000000"/>
        </w:rPr>
        <w:t xml:space="preserve"> is constituted in a way that will give it direct access to the president. At the </w:t>
      </w:r>
      <w:r>
        <w:rPr>
          <w:color w:val="000000"/>
        </w:rPr>
        <w:t>same time, it is a senate committee, so we can help set its agenda, and request progress reports on the issue of divestment.</w:t>
      </w:r>
      <w:r>
        <w:rPr>
          <w:color w:val="000000"/>
        </w:rPr>
        <w:t xml:space="preserve"> By design this committee has very </w:t>
      </w:r>
      <w:r>
        <w:rPr>
          <w:color w:val="000000"/>
        </w:rPr>
        <w:t>brood</w:t>
      </w:r>
      <w:r>
        <w:rPr>
          <w:color w:val="000000"/>
        </w:rPr>
        <w:t xml:space="preserve"> representation and as any Senate committee has the power to ask for additional fac</w:t>
      </w:r>
      <w:r>
        <w:rPr>
          <w:color w:val="000000"/>
        </w:rPr>
        <w:t>u</w:t>
      </w:r>
      <w:r>
        <w:rPr>
          <w:color w:val="000000"/>
        </w:rPr>
        <w:t>lty</w:t>
      </w:r>
      <w:r>
        <w:rPr>
          <w:color w:val="000000"/>
        </w:rPr>
        <w:t xml:space="preserve"> and student representation </w:t>
      </w:r>
      <w:r>
        <w:rPr>
          <w:color w:val="000000"/>
        </w:rPr>
        <w:t xml:space="preserve">when additional </w:t>
      </w:r>
      <w:r>
        <w:rPr>
          <w:color w:val="000000"/>
        </w:rPr>
        <w:t>expertise</w:t>
      </w:r>
      <w:r>
        <w:rPr>
          <w:color w:val="000000"/>
        </w:rPr>
        <w:t xml:space="preserve"> may be needed.</w:t>
      </w:r>
    </w:p>
    <w:p w14:paraId="40D53F23" w14:textId="77777777" w:rsidR="001F5973" w:rsidRDefault="001F5973"/>
    <w:sectPr w:rsidR="001F597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1"/>
    <w:family w:val="roman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C25F9"/>
    <w:multiLevelType w:val="multilevel"/>
    <w:tmpl w:val="064E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4C940D94"/>
    <w:multiLevelType w:val="multilevel"/>
    <w:tmpl w:val="30E2943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6F601D"/>
    <w:multiLevelType w:val="multilevel"/>
    <w:tmpl w:val="FE6872F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63C2587F"/>
    <w:multiLevelType w:val="multilevel"/>
    <w:tmpl w:val="7310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973"/>
    <w:rsid w:val="001F5973"/>
    <w:rsid w:val="006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DB74"/>
  <w15:docId w15:val="{2C8E8443-CDB4-4507-9363-FBEF0278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Patricia Hanna</dc:creator>
  <dc:description/>
  <cp:lastModifiedBy>Jane Laird</cp:lastModifiedBy>
  <cp:revision>10</cp:revision>
  <dcterms:created xsi:type="dcterms:W3CDTF">2020-04-15T10:13:00Z</dcterms:created>
  <dcterms:modified xsi:type="dcterms:W3CDTF">2020-04-22T22:31:00Z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