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C6CC" w14:textId="77777777" w:rsidR="00A63C1F" w:rsidRPr="00D2196C" w:rsidRDefault="00A63C1F" w:rsidP="00DC0089">
      <w:pPr>
        <w:jc w:val="center"/>
        <w:rPr>
          <w:b/>
        </w:rPr>
      </w:pPr>
      <w:bookmarkStart w:id="0" w:name="_GoBack"/>
      <w:bookmarkEnd w:id="0"/>
      <w:r w:rsidRPr="00D2196C">
        <w:rPr>
          <w:b/>
        </w:rPr>
        <w:t>MEMORANDUM</w:t>
      </w:r>
    </w:p>
    <w:p w14:paraId="268C5C0C" w14:textId="77777777" w:rsidR="00A63C1F" w:rsidRDefault="00A63C1F" w:rsidP="00DC0089">
      <w:pPr>
        <w:jc w:val="center"/>
        <w:rPr>
          <w:b/>
        </w:rPr>
      </w:pPr>
    </w:p>
    <w:p w14:paraId="71B40D53" w14:textId="77777777" w:rsidR="00A63C1F" w:rsidRPr="00D2196C" w:rsidRDefault="00A63C1F" w:rsidP="00DC0089">
      <w:r w:rsidRPr="00D2196C">
        <w:rPr>
          <w:b/>
        </w:rPr>
        <w:t>TO:</w:t>
      </w:r>
      <w:r w:rsidRPr="00D2196C">
        <w:tab/>
      </w:r>
      <w:r w:rsidRPr="00D2196C">
        <w:tab/>
      </w:r>
      <w:r>
        <w:t>Andrew S.</w:t>
      </w:r>
      <w:r w:rsidRPr="00D2196C">
        <w:t xml:space="preserve"> Weyrich</w:t>
      </w:r>
      <w:r>
        <w:t>, Vice President for Research</w:t>
      </w:r>
    </w:p>
    <w:p w14:paraId="2370289C" w14:textId="77777777" w:rsidR="00A63C1F" w:rsidRPr="00D2196C" w:rsidRDefault="00A63C1F" w:rsidP="00DC0089"/>
    <w:p w14:paraId="4A94F149" w14:textId="7D127526" w:rsidR="00A63C1F" w:rsidRPr="00A63C1F" w:rsidRDefault="00A63C1F" w:rsidP="00DC0089">
      <w:r w:rsidRPr="00D2196C">
        <w:rPr>
          <w:b/>
        </w:rPr>
        <w:t>FROM:</w:t>
      </w:r>
      <w:r>
        <w:tab/>
        <w:t>Marc Rinehart, PhD, Director</w:t>
      </w:r>
      <w:r w:rsidR="002D428C">
        <w:t>/Officer</w:t>
      </w:r>
      <w:r>
        <w:t>, Conflict of Interest Office</w:t>
      </w:r>
      <w:r>
        <w:rPr>
          <w:b/>
        </w:rPr>
        <w:br/>
      </w:r>
    </w:p>
    <w:p w14:paraId="4EF96A3D" w14:textId="04C4DA5F" w:rsidR="00A63C1F" w:rsidRDefault="00A63C1F" w:rsidP="00DC0089">
      <w:pPr>
        <w:ind w:left="1440" w:hanging="1440"/>
      </w:pPr>
      <w:r w:rsidRPr="00D2196C">
        <w:rPr>
          <w:b/>
        </w:rPr>
        <w:t>SUBJECT:</w:t>
      </w:r>
      <w:r>
        <w:t xml:space="preserve">  </w:t>
      </w:r>
      <w:r>
        <w:tab/>
        <w:t>Proposed Changes to Individual Financial Conflict of Interest Policy 1-006</w:t>
      </w:r>
    </w:p>
    <w:p w14:paraId="516D9581" w14:textId="77777777" w:rsidR="00A63C1F" w:rsidRDefault="00A63C1F" w:rsidP="00DC0089">
      <w:pPr>
        <w:ind w:left="1440" w:hanging="1440"/>
      </w:pPr>
    </w:p>
    <w:p w14:paraId="740D4C8D" w14:textId="4A6C8C23" w:rsidR="00A63C1F" w:rsidRDefault="00A63C1F" w:rsidP="00DC0089">
      <w:pPr>
        <w:ind w:left="1440" w:hanging="1440"/>
      </w:pPr>
      <w:r w:rsidRPr="00B06960">
        <w:rPr>
          <w:b/>
        </w:rPr>
        <w:t>DATE:</w:t>
      </w:r>
      <w:r>
        <w:tab/>
      </w:r>
      <w:r w:rsidR="00020644">
        <w:t>March 16, 2020</w:t>
      </w:r>
    </w:p>
    <w:p w14:paraId="3D3EC37F" w14:textId="77777777" w:rsidR="00A63C1F" w:rsidRDefault="00A63C1F" w:rsidP="00DC0089">
      <w:r>
        <w:t>______________________________________________________________________________</w:t>
      </w:r>
    </w:p>
    <w:p w14:paraId="2BDEA5CC" w14:textId="77777777" w:rsidR="00A63C1F" w:rsidRDefault="00A63C1F" w:rsidP="00DC0089">
      <w:pPr>
        <w:ind w:left="1440" w:hanging="1440"/>
      </w:pPr>
    </w:p>
    <w:p w14:paraId="178B419A" w14:textId="77777777" w:rsidR="00A63C1F" w:rsidRPr="00B06960" w:rsidRDefault="00A63C1F" w:rsidP="00DC0089">
      <w:pPr>
        <w:pStyle w:val="ListParagraph"/>
        <w:numPr>
          <w:ilvl w:val="0"/>
          <w:numId w:val="1"/>
        </w:numPr>
        <w:rPr>
          <w:b/>
        </w:rPr>
      </w:pPr>
      <w:r w:rsidRPr="00B06960">
        <w:rPr>
          <w:b/>
        </w:rPr>
        <w:t>Overview</w:t>
      </w:r>
    </w:p>
    <w:p w14:paraId="54607727" w14:textId="77777777" w:rsidR="00A63C1F" w:rsidRDefault="00A63C1F" w:rsidP="00DC0089"/>
    <w:p w14:paraId="13C7F494" w14:textId="5CB2D8E6" w:rsidR="00A63C1F" w:rsidRDefault="00A63C1F" w:rsidP="00DC0089">
      <w:r>
        <w:t xml:space="preserve">This is a proposal to make various important changes to the Individual Financial Conflict of Interest Policy 1-006 </w:t>
      </w:r>
      <w:r w:rsidR="00A017D9">
        <w:t xml:space="preserve">(Policy 1-006) </w:t>
      </w:r>
      <w:r w:rsidR="005C21B0">
        <w:t>and Procedure</w:t>
      </w:r>
      <w:r w:rsidR="005E16C3">
        <w:t>s</w:t>
      </w:r>
      <w:r w:rsidR="005C21B0">
        <w:t xml:space="preserve"> 1-006: Reviewing Individual Conflict of Interest Disclosure Forms (Procedure 1-006)</w:t>
      </w:r>
      <w:r w:rsidR="00883917">
        <w:t xml:space="preserve">. </w:t>
      </w:r>
      <w:r w:rsidR="00476120">
        <w:t xml:space="preserve">The current version of the main Policy 1-006, Revision 11, has been in place since 2012. </w:t>
      </w:r>
      <w:r w:rsidR="00BE722D">
        <w:t xml:space="preserve">See </w:t>
      </w:r>
      <w:r w:rsidR="00BE722D" w:rsidRPr="00BE722D">
        <w:t>https://regulations.utah.edu/general/1-006.php</w:t>
      </w:r>
      <w:r w:rsidR="00020644">
        <w:t>.</w:t>
      </w:r>
      <w:r w:rsidR="00BE722D">
        <w:t xml:space="preserve"> </w:t>
      </w:r>
      <w:r w:rsidR="00560822">
        <w:t xml:space="preserve">Currently, Policy 1-006 addresses conflicts of interest in four </w:t>
      </w:r>
      <w:r w:rsidR="00165A24">
        <w:t>areas</w:t>
      </w:r>
      <w:r w:rsidR="00560822">
        <w:t>: Research and Scholarly Activity, Human Subjects Research, Intellectual Property, and Procurement. This propos</w:t>
      </w:r>
      <w:r w:rsidR="00476120">
        <w:t>ed revision would</w:t>
      </w:r>
      <w:r w:rsidR="00560822">
        <w:t xml:space="preserve"> reorder and redefine these </w:t>
      </w:r>
      <w:r w:rsidR="00F40102">
        <w:t>areas</w:t>
      </w:r>
      <w:r w:rsidR="00560822">
        <w:t xml:space="preserve"> and</w:t>
      </w:r>
      <w:r w:rsidR="00BE722D">
        <w:t xml:space="preserve"> would</w:t>
      </w:r>
      <w:r w:rsidR="00560822">
        <w:t xml:space="preserve"> create </w:t>
      </w:r>
      <w:r w:rsidR="00476120">
        <w:t xml:space="preserve">a set of </w:t>
      </w:r>
      <w:r w:rsidR="00BE722D">
        <w:t xml:space="preserve">new </w:t>
      </w:r>
      <w:r w:rsidR="00476120">
        <w:t>University</w:t>
      </w:r>
      <w:r w:rsidR="00165A24">
        <w:t xml:space="preserve"> Rules</w:t>
      </w:r>
      <w:r w:rsidR="00476120">
        <w:t>,</w:t>
      </w:r>
      <w:r w:rsidR="00165A24">
        <w:t xml:space="preserve"> </w:t>
      </w:r>
      <w:r w:rsidR="00476120">
        <w:t xml:space="preserve">associated with the main Policy, </w:t>
      </w:r>
      <w:r w:rsidR="00165A24">
        <w:t>for each new area to clarify the review process for each type of conflict of interest.</w:t>
      </w:r>
      <w:r w:rsidR="00560822">
        <w:t xml:space="preserve"> </w:t>
      </w:r>
      <w:r w:rsidR="00883917">
        <w:t xml:space="preserve">These changes </w:t>
      </w:r>
      <w:r w:rsidR="00BE722D">
        <w:t xml:space="preserve">will </w:t>
      </w:r>
      <w:r w:rsidR="002B4394">
        <w:t xml:space="preserve">help </w:t>
      </w:r>
      <w:r w:rsidR="00142B64">
        <w:t xml:space="preserve">clarify existing policy requirements and help </w:t>
      </w:r>
      <w:r>
        <w:t xml:space="preserve">ensure </w:t>
      </w:r>
      <w:r w:rsidR="002B4394">
        <w:t xml:space="preserve">that </w:t>
      </w:r>
      <w:r>
        <w:t>University</w:t>
      </w:r>
      <w:r w:rsidR="002B4394">
        <w:t xml:space="preserve"> of Utah (University)</w:t>
      </w:r>
      <w:r>
        <w:t xml:space="preserve"> employees </w:t>
      </w:r>
      <w:r w:rsidR="002B4394">
        <w:t>comply</w:t>
      </w:r>
      <w:r>
        <w:t xml:space="preserve"> with Utah state law </w:t>
      </w:r>
      <w:r w:rsidR="003D457C">
        <w:t>concerning</w:t>
      </w:r>
      <w:r w:rsidR="002B4394">
        <w:t xml:space="preserve"> </w:t>
      </w:r>
      <w:r w:rsidR="003D457C">
        <w:t>conflicts of interest and</w:t>
      </w:r>
      <w:r>
        <w:t xml:space="preserve"> provid</w:t>
      </w:r>
      <w:r w:rsidR="002B4394">
        <w:t>e</w:t>
      </w:r>
      <w:r>
        <w:t xml:space="preserve"> complete and accurate disclosures </w:t>
      </w:r>
      <w:r w:rsidR="008D1E79">
        <w:t xml:space="preserve">of </w:t>
      </w:r>
      <w:r w:rsidR="00814857">
        <w:t xml:space="preserve">relevant </w:t>
      </w:r>
      <w:r w:rsidR="008D1E79">
        <w:t xml:space="preserve">outside interests </w:t>
      </w:r>
      <w:r w:rsidR="00814857">
        <w:t xml:space="preserve">and relationships </w:t>
      </w:r>
      <w:r>
        <w:t>to the University</w:t>
      </w:r>
      <w:r w:rsidR="00F54BE9">
        <w:t>.</w:t>
      </w:r>
    </w:p>
    <w:p w14:paraId="6DA98219" w14:textId="1AF0FA43" w:rsidR="00A63C1F" w:rsidRDefault="00A63C1F" w:rsidP="00DC0089"/>
    <w:p w14:paraId="29BD9583" w14:textId="1F550BA9" w:rsidR="00A63C1F" w:rsidRPr="00A63C1F" w:rsidRDefault="00A63C1F" w:rsidP="00DC0089">
      <w:pPr>
        <w:pStyle w:val="ListParagraph"/>
        <w:numPr>
          <w:ilvl w:val="0"/>
          <w:numId w:val="1"/>
        </w:numPr>
      </w:pPr>
      <w:r>
        <w:rPr>
          <w:b/>
        </w:rPr>
        <w:t>Background</w:t>
      </w:r>
    </w:p>
    <w:p w14:paraId="1CAD07AC" w14:textId="584ACEBB" w:rsidR="00A63C1F" w:rsidRDefault="00A63C1F" w:rsidP="00DC0089"/>
    <w:p w14:paraId="63BF0748" w14:textId="3F4E4856" w:rsidR="00CC054B" w:rsidRDefault="00A63C1F" w:rsidP="00DC0089">
      <w:r>
        <w:t xml:space="preserve">In December 2016, </w:t>
      </w:r>
      <w:r w:rsidR="0046638E">
        <w:t xml:space="preserve">the Office of Legislative Auditor General </w:t>
      </w:r>
      <w:r w:rsidR="00107E75">
        <w:t>of</w:t>
      </w:r>
      <w:r w:rsidR="0046638E">
        <w:t xml:space="preserve"> the </w:t>
      </w:r>
      <w:r w:rsidR="00107E75">
        <w:t>S</w:t>
      </w:r>
      <w:r w:rsidR="0046638E">
        <w:t xml:space="preserve">tate of Utah </w:t>
      </w:r>
      <w:r w:rsidR="00107E75">
        <w:t xml:space="preserve">(Legislative Auditor) </w:t>
      </w:r>
      <w:r w:rsidR="00A56C4E">
        <w:t xml:space="preserve">conducted an audit </w:t>
      </w:r>
      <w:r w:rsidR="00107E75">
        <w:t>of the relationship between</w:t>
      </w:r>
      <w:r w:rsidR="00A56C4E">
        <w:t xml:space="preserve"> Utah State University’s (USU’s) anthropology program</w:t>
      </w:r>
      <w:r w:rsidR="00E73638">
        <w:t xml:space="preserve"> </w:t>
      </w:r>
      <w:r w:rsidR="00A11862">
        <w:t xml:space="preserve">and </w:t>
      </w:r>
      <w:r w:rsidR="00CC054B">
        <w:t xml:space="preserve">Utah State University Archaeological Services (USUAS), a private corporation </w:t>
      </w:r>
      <w:r w:rsidR="00107E75">
        <w:t>owned by USU anthropology faculty</w:t>
      </w:r>
      <w:r w:rsidR="00CC054B">
        <w:t>.</w:t>
      </w:r>
      <w:r w:rsidR="003E1075">
        <w:t xml:space="preserve"> </w:t>
      </w:r>
      <w:r w:rsidR="00107E75">
        <w:t xml:space="preserve">In that audit, </w:t>
      </w:r>
      <w:r w:rsidR="003E1075">
        <w:t>the Legislative Auditor found that</w:t>
      </w:r>
      <w:r w:rsidR="00FD2792">
        <w:t xml:space="preserve">, on several occasions, </w:t>
      </w:r>
      <w:r w:rsidR="00107E75">
        <w:t xml:space="preserve">USU </w:t>
      </w:r>
      <w:r w:rsidR="003E1075">
        <w:t xml:space="preserve">anthropology faculty </w:t>
      </w:r>
      <w:r w:rsidR="00107E75">
        <w:t>with</w:t>
      </w:r>
      <w:r w:rsidR="003E1075">
        <w:t xml:space="preserve"> </w:t>
      </w:r>
      <w:r w:rsidR="006E782A">
        <w:t xml:space="preserve">an </w:t>
      </w:r>
      <w:r w:rsidR="003E1075">
        <w:t>ownership</w:t>
      </w:r>
      <w:r w:rsidR="009F2953">
        <w:t xml:space="preserve"> interest</w:t>
      </w:r>
      <w:r w:rsidR="003E1075">
        <w:t xml:space="preserve"> in USUAS </w:t>
      </w:r>
      <w:r w:rsidR="00723776">
        <w:t>selected USUAS for sub</w:t>
      </w:r>
      <w:r w:rsidR="00CF4D65">
        <w:t>-</w:t>
      </w:r>
      <w:r w:rsidR="00723776">
        <w:t>awards in grant application</w:t>
      </w:r>
      <w:r w:rsidR="006E782A">
        <w:t xml:space="preserve">s, </w:t>
      </w:r>
      <w:r w:rsidR="003E1075">
        <w:t>and that USU fai</w:t>
      </w:r>
      <w:r w:rsidR="00C8736C">
        <w:t>led to provide adequate oversight over</w:t>
      </w:r>
      <w:r w:rsidR="003E1075">
        <w:t xml:space="preserve"> those </w:t>
      </w:r>
      <w:r w:rsidR="00107E75">
        <w:t>sub</w:t>
      </w:r>
      <w:r w:rsidR="00CF4D65">
        <w:t>-</w:t>
      </w:r>
      <w:r w:rsidR="00107E75">
        <w:t xml:space="preserve">award </w:t>
      </w:r>
      <w:r w:rsidR="003E1075">
        <w:t>decisions</w:t>
      </w:r>
      <w:r w:rsidR="00723776">
        <w:t xml:space="preserve">. </w:t>
      </w:r>
      <w:r w:rsidR="009F2953">
        <w:t>T</w:t>
      </w:r>
      <w:r w:rsidR="00632882">
        <w:t>o address this issue and help ensure compliance with the Utah Public Officers’ and Employees’ Ethics Act</w:t>
      </w:r>
      <w:r w:rsidR="00960CBE">
        <w:t xml:space="preserve"> (Ethics Act)</w:t>
      </w:r>
      <w:r w:rsidR="00632882">
        <w:t>, t</w:t>
      </w:r>
      <w:r w:rsidR="009F2953">
        <w:t xml:space="preserve">he Legislative Auditor recommended that USU </w:t>
      </w:r>
      <w:r w:rsidR="00632882">
        <w:t xml:space="preserve">develop </w:t>
      </w:r>
      <w:r w:rsidR="009F2953">
        <w:t xml:space="preserve">controls for identifying and managing potential conflicts of interest before faculty apply for grants. </w:t>
      </w:r>
    </w:p>
    <w:p w14:paraId="0BE2A79B" w14:textId="77777777" w:rsidR="00CC054B" w:rsidRDefault="00CC054B" w:rsidP="00DC0089"/>
    <w:p w14:paraId="001721F2" w14:textId="28AF482E" w:rsidR="005570C7" w:rsidRDefault="0002640F" w:rsidP="00DC0089">
      <w:r>
        <w:t xml:space="preserve">Following the USU audit, </w:t>
      </w:r>
      <w:r w:rsidR="00BE722D">
        <w:t>here at the University of Utah</w:t>
      </w:r>
      <w:r w:rsidR="00020644">
        <w:t>,</w:t>
      </w:r>
      <w:r w:rsidR="00BE722D">
        <w:t xml:space="preserve"> </w:t>
      </w:r>
      <w:r>
        <w:t xml:space="preserve">the University’s Vice President for Research directed </w:t>
      </w:r>
      <w:r w:rsidR="00201044">
        <w:t xml:space="preserve">the University’s Conflict of Interest </w:t>
      </w:r>
      <w:r w:rsidR="00312B21">
        <w:t xml:space="preserve">(COI) </w:t>
      </w:r>
      <w:r w:rsidR="00201044">
        <w:t xml:space="preserve">Office </w:t>
      </w:r>
      <w:r>
        <w:t>to work</w:t>
      </w:r>
      <w:r w:rsidR="00D56BD7">
        <w:t xml:space="preserve"> with the </w:t>
      </w:r>
      <w:r w:rsidR="00323671">
        <w:t xml:space="preserve">University’s </w:t>
      </w:r>
      <w:r w:rsidR="00D56BD7">
        <w:t>Office of Sponsored Projects (OSP)</w:t>
      </w:r>
      <w:r w:rsidR="00FF1325">
        <w:t xml:space="preserve">, </w:t>
      </w:r>
      <w:r>
        <w:t xml:space="preserve">the University’s </w:t>
      </w:r>
      <w:r w:rsidR="00D56BD7">
        <w:t>Purchasing Department</w:t>
      </w:r>
      <w:r w:rsidR="00FF1325">
        <w:t>, the University’s Center for Technology and Venture Commercialization, and other offices</w:t>
      </w:r>
      <w:r w:rsidR="00D56BD7">
        <w:t xml:space="preserve"> to </w:t>
      </w:r>
      <w:r w:rsidR="004816D2">
        <w:t>review</w:t>
      </w:r>
      <w:r w:rsidR="00982B25">
        <w:t xml:space="preserve"> the University’s conflict of interest </w:t>
      </w:r>
      <w:r w:rsidR="00827EE8">
        <w:t xml:space="preserve">policies and </w:t>
      </w:r>
      <w:r w:rsidR="00982B25">
        <w:t xml:space="preserve">processes </w:t>
      </w:r>
      <w:r w:rsidR="0063746B">
        <w:t>and</w:t>
      </w:r>
      <w:r w:rsidR="00085763">
        <w:t>, if appropriate, recommend</w:t>
      </w:r>
      <w:r w:rsidR="005452CB">
        <w:t xml:space="preserve"> ways </w:t>
      </w:r>
      <w:r w:rsidR="00085763">
        <w:t>to strengthen</w:t>
      </w:r>
      <w:r w:rsidR="00516C88">
        <w:t xml:space="preserve"> </w:t>
      </w:r>
      <w:r w:rsidR="00085763">
        <w:t xml:space="preserve">those policies and processes </w:t>
      </w:r>
      <w:r w:rsidR="00E945C3">
        <w:t>so that conflicts of interest related to sub</w:t>
      </w:r>
      <w:r w:rsidR="00CF4D65">
        <w:t>-</w:t>
      </w:r>
      <w:r w:rsidR="00E945C3">
        <w:t>awards are appropriately identified and managed, as required by</w:t>
      </w:r>
      <w:r w:rsidR="007C4993">
        <w:t xml:space="preserve"> the Ethics Act</w:t>
      </w:r>
      <w:r w:rsidR="00085763">
        <w:t xml:space="preserve">. </w:t>
      </w:r>
    </w:p>
    <w:p w14:paraId="0773F6B8" w14:textId="06CC97FB" w:rsidR="005570C7" w:rsidRDefault="005570C7" w:rsidP="00DC0089"/>
    <w:p w14:paraId="3C6DE9FB" w14:textId="5BC4E02C" w:rsidR="00F152FB" w:rsidRDefault="008447D9" w:rsidP="00DC0089">
      <w:r>
        <w:t xml:space="preserve">The COI Office completed that review and now recommends that </w:t>
      </w:r>
      <w:r w:rsidR="00AE312E">
        <w:t>Policy 1-006</w:t>
      </w:r>
      <w:r w:rsidR="003972CA">
        <w:t xml:space="preserve"> </w:t>
      </w:r>
      <w:r w:rsidR="006F2DB8">
        <w:t xml:space="preserve">and Procedure 1-006 </w:t>
      </w:r>
      <w:r w:rsidR="00B61529">
        <w:t xml:space="preserve">be revised in several </w:t>
      </w:r>
      <w:r w:rsidR="00EF10EB">
        <w:t xml:space="preserve">substantive </w:t>
      </w:r>
      <w:r w:rsidR="00B61529">
        <w:t>ways</w:t>
      </w:r>
      <w:r w:rsidR="00EF10EB">
        <w:t>.</w:t>
      </w:r>
      <w:r w:rsidR="00B61529">
        <w:t xml:space="preserve"> </w:t>
      </w:r>
      <w:r w:rsidR="000514B0">
        <w:t>These recommended changes will not only strengthen the COI Office’s ability to identify and appropriately manage conflicts of interest related to sub</w:t>
      </w:r>
      <w:r w:rsidR="00CF4D65">
        <w:t>-</w:t>
      </w:r>
      <w:r w:rsidR="000514B0">
        <w:t>awards, in particular, but they will also strengthen the COI Office’s ability to timely identify and manage conflicts of interest related to transactions more broadly (e.g., subcontracts, sub</w:t>
      </w:r>
      <w:r w:rsidR="00CF4D65">
        <w:t>-</w:t>
      </w:r>
      <w:r w:rsidR="000514B0">
        <w:t>awards, purchases, licensing agreem</w:t>
      </w:r>
      <w:r w:rsidR="00FF48A4">
        <w:t>ents, lease agreements, etc.)</w:t>
      </w:r>
      <w:r w:rsidR="003972CA">
        <w:t>.</w:t>
      </w:r>
      <w:r w:rsidR="00297051">
        <w:t xml:space="preserve"> </w:t>
      </w:r>
      <w:r w:rsidR="00F152FB">
        <w:t>In addition, the proposed changes will help the University respond to recent requests by federal agencies</w:t>
      </w:r>
      <w:r w:rsidR="00AC654E">
        <w:t>, such as</w:t>
      </w:r>
      <w:r w:rsidR="00F152FB">
        <w:t xml:space="preserve"> the National Institutes of Health and the National Science Foundation (NSF)</w:t>
      </w:r>
      <w:r w:rsidR="00AC654E">
        <w:t>,</w:t>
      </w:r>
      <w:r w:rsidR="00F152FB">
        <w:t xml:space="preserve"> </w:t>
      </w:r>
      <w:r w:rsidR="00AC654E">
        <w:t>that institutions</w:t>
      </w:r>
      <w:r w:rsidR="00F152FB">
        <w:t xml:space="preserve"> </w:t>
      </w:r>
      <w:r w:rsidR="00AC654E">
        <w:t>take a more proactive approach in identifying and managing conflicts of interest related to foreign entities</w:t>
      </w:r>
      <w:r w:rsidR="00C20F91">
        <w:t xml:space="preserve">. </w:t>
      </w:r>
      <w:r w:rsidR="00E434C0">
        <w:t xml:space="preserve">Full disclosure of relationships is central to that </w:t>
      </w:r>
      <w:r w:rsidR="00D11283">
        <w:t>effort</w:t>
      </w:r>
      <w:r w:rsidR="00E434C0">
        <w:t xml:space="preserve"> and, as a recent report commissioned by the NSF concluded, is </w:t>
      </w:r>
      <w:r w:rsidR="00AC654E">
        <w:t>the United States' "most effective" response to, and "main defense against," foreign influence.</w:t>
      </w:r>
      <w:r w:rsidR="00D11283">
        <w:rPr>
          <w:rStyle w:val="FootnoteReference"/>
        </w:rPr>
        <w:footnoteReference w:id="1"/>
      </w:r>
    </w:p>
    <w:p w14:paraId="2AD8F185" w14:textId="15EA903B" w:rsidR="00A06EBF" w:rsidRDefault="00A06EBF" w:rsidP="00DC0089"/>
    <w:p w14:paraId="62ABE46C" w14:textId="2F65D324" w:rsidR="00A06EBF" w:rsidRDefault="00A06EBF" w:rsidP="00DC0089">
      <w:r>
        <w:t xml:space="preserve">The changes now proposed are limited in scope, as dictated by the need to enact the changes and begin implementation expeditiously. Given continuing trends at the national and international levels, it is anticipated that further </w:t>
      </w:r>
      <w:r w:rsidR="009B637D">
        <w:t xml:space="preserve">adjustments to </w:t>
      </w:r>
      <w:r>
        <w:t xml:space="preserve">University </w:t>
      </w:r>
      <w:r w:rsidR="009B637D">
        <w:t xml:space="preserve">practices, and possibly further revisions of University Regulations </w:t>
      </w:r>
      <w:r>
        <w:t>in these areas</w:t>
      </w:r>
      <w:r w:rsidR="00020644">
        <w:t>,</w:t>
      </w:r>
      <w:r>
        <w:t xml:space="preserve"> will be needed</w:t>
      </w:r>
      <w:r w:rsidR="009B637D">
        <w:t>. One such change may be to further enlarge the scope of categories of University employees of whom disclosures are routinely required. And so the Conflict of Interest Office anticipates reviewing the effectiveness of these revised Regulations after two years of experience with them, and possibly then returning with further proposed changes.</w:t>
      </w:r>
    </w:p>
    <w:p w14:paraId="175372EF" w14:textId="77777777" w:rsidR="00D27F82" w:rsidRDefault="00D27F82" w:rsidP="00DC0089"/>
    <w:p w14:paraId="0F041A74" w14:textId="7061E9F6" w:rsidR="005B4192" w:rsidRDefault="009B637D" w:rsidP="00DC0089">
      <w:r>
        <w:t>For the present proposal</w:t>
      </w:r>
      <w:r w:rsidR="00020644">
        <w:t>,</w:t>
      </w:r>
      <w:r>
        <w:t xml:space="preserve"> t</w:t>
      </w:r>
      <w:r w:rsidR="003C7522">
        <w:t xml:space="preserve">he proposed </w:t>
      </w:r>
      <w:r w:rsidR="00A017D9">
        <w:t>changes to</w:t>
      </w:r>
      <w:r w:rsidR="00A06EBF">
        <w:t xml:space="preserve"> existing</w:t>
      </w:r>
      <w:r w:rsidR="00A017D9">
        <w:t xml:space="preserve"> Policy 1-006</w:t>
      </w:r>
      <w:r w:rsidR="00297D11">
        <w:t xml:space="preserve"> and </w:t>
      </w:r>
      <w:r w:rsidR="00A06EBF">
        <w:t xml:space="preserve">new </w:t>
      </w:r>
      <w:r w:rsidR="00622130">
        <w:t xml:space="preserve">Rules </w:t>
      </w:r>
      <w:r w:rsidR="00297D11">
        <w:t>1-006</w:t>
      </w:r>
      <w:r w:rsidR="00622130">
        <w:t>C</w:t>
      </w:r>
      <w:r w:rsidR="007E3F25">
        <w:t xml:space="preserve"> to 1</w:t>
      </w:r>
      <w:r w:rsidR="00622130">
        <w:t>-</w:t>
      </w:r>
      <w:r w:rsidR="007E3F25">
        <w:t>006</w:t>
      </w:r>
      <w:r w:rsidR="00622130">
        <w:t>E</w:t>
      </w:r>
      <w:r w:rsidR="003C7522">
        <w:t xml:space="preserve"> can be grouped into three broad </w:t>
      </w:r>
      <w:r w:rsidR="00FA5372">
        <w:t>areas of</w:t>
      </w:r>
      <w:r w:rsidR="00B46850">
        <w:t xml:space="preserve"> focus: </w:t>
      </w:r>
    </w:p>
    <w:p w14:paraId="2588F3D4" w14:textId="77777777" w:rsidR="005B4192" w:rsidRDefault="005B4192" w:rsidP="00DC0089"/>
    <w:p w14:paraId="77F6348F" w14:textId="547CF588" w:rsidR="005B4192" w:rsidRDefault="002D4A11" w:rsidP="00DC0089">
      <w:pPr>
        <w:pStyle w:val="ListParagraph"/>
        <w:numPr>
          <w:ilvl w:val="0"/>
          <w:numId w:val="15"/>
        </w:numPr>
      </w:pPr>
      <w:r>
        <w:t>adding a requirement that</w:t>
      </w:r>
      <w:r w:rsidR="00B46850">
        <w:t xml:space="preserve"> </w:t>
      </w:r>
      <w:r w:rsidR="005B4192">
        <w:t xml:space="preserve">the following </w:t>
      </w:r>
      <w:r w:rsidR="00A06EBF">
        <w:t xml:space="preserve">categories of </w:t>
      </w:r>
      <w:r w:rsidR="00B46850">
        <w:t xml:space="preserve">University employees </w:t>
      </w:r>
      <w:r w:rsidR="00545D3F">
        <w:t>submit</w:t>
      </w:r>
      <w:r w:rsidR="00B46850">
        <w:t xml:space="preserve"> an annual disclosure</w:t>
      </w:r>
      <w:r w:rsidR="006D67EE">
        <w:t xml:space="preserve"> of relevant outside interests</w:t>
      </w:r>
      <w:r w:rsidR="00926344">
        <w:t xml:space="preserve"> </w:t>
      </w:r>
      <w:r w:rsidR="00861F05">
        <w:t>and relationships</w:t>
      </w:r>
      <w:r w:rsidR="005B4192">
        <w:t>: (a) faculty members (</w:t>
      </w:r>
      <w:r w:rsidR="007D71BA">
        <w:t>excluding emeritus, visiting, and adjunct faculty</w:t>
      </w:r>
      <w:r w:rsidR="005B4192">
        <w:t>); (b) staff employed at the manager level or above; and (c) staff with purchasing authority or delegated purchasing authority</w:t>
      </w:r>
      <w:r w:rsidR="006D67EE">
        <w:t>;</w:t>
      </w:r>
      <w:r w:rsidR="00B46850">
        <w:t xml:space="preserve"> </w:t>
      </w:r>
    </w:p>
    <w:p w14:paraId="52B57E43" w14:textId="3D1AF49B" w:rsidR="005B4192" w:rsidRDefault="005B4192" w:rsidP="00DC0089"/>
    <w:p w14:paraId="4766A808" w14:textId="54DE3940" w:rsidR="005B4192" w:rsidRDefault="00DB5367" w:rsidP="00DC0089">
      <w:pPr>
        <w:pStyle w:val="ListParagraph"/>
        <w:numPr>
          <w:ilvl w:val="0"/>
          <w:numId w:val="15"/>
        </w:numPr>
      </w:pPr>
      <w:r>
        <w:t xml:space="preserve">clarifying disclosure and process strategies by redefining activities that are subject to conflict of interest review and oversight and reorganizing </w:t>
      </w:r>
      <w:r w:rsidR="009B637D">
        <w:t xml:space="preserve">descriptions of </w:t>
      </w:r>
      <w:r>
        <w:t xml:space="preserve">these activities into </w:t>
      </w:r>
      <w:r w:rsidR="009B637D">
        <w:t xml:space="preserve">new </w:t>
      </w:r>
      <w:r>
        <w:t xml:space="preserve">Rules for more </w:t>
      </w:r>
      <w:r w:rsidR="008F3AA3">
        <w:t>specific, activity-based</w:t>
      </w:r>
      <w:r>
        <w:t xml:space="preserve"> guidance</w:t>
      </w:r>
      <w:r w:rsidR="006D67EE">
        <w:t>;</w:t>
      </w:r>
      <w:r w:rsidR="00224478">
        <w:t xml:space="preserve"> and </w:t>
      </w:r>
    </w:p>
    <w:p w14:paraId="369995F7" w14:textId="77777777" w:rsidR="005B4192" w:rsidRDefault="005B4192" w:rsidP="00DC0089"/>
    <w:p w14:paraId="246965B1" w14:textId="4ED181D4" w:rsidR="00D76F95" w:rsidRDefault="009353C6" w:rsidP="00DC0089">
      <w:pPr>
        <w:pStyle w:val="ListParagraph"/>
        <w:numPr>
          <w:ilvl w:val="0"/>
          <w:numId w:val="15"/>
        </w:numPr>
      </w:pPr>
      <w:r>
        <w:t xml:space="preserve">broadening the types of interests and relationships that </w:t>
      </w:r>
      <w:r w:rsidR="00F41B70">
        <w:t>(a</w:t>
      </w:r>
      <w:r w:rsidR="002205A9">
        <w:t xml:space="preserve">) </w:t>
      </w:r>
      <w:r>
        <w:t>individuals must disclose</w:t>
      </w:r>
      <w:r w:rsidR="0017097B">
        <w:t xml:space="preserve"> to</w:t>
      </w:r>
      <w:r w:rsidR="00CA688C">
        <w:t xml:space="preserve"> help ensure that employees </w:t>
      </w:r>
      <w:r w:rsidR="003844E9">
        <w:t xml:space="preserve">appropriately </w:t>
      </w:r>
      <w:r w:rsidR="00CA688C">
        <w:t>disclose all of the interests and relationships listed in the</w:t>
      </w:r>
      <w:r w:rsidR="0017097B">
        <w:t xml:space="preserve"> Ethics Act</w:t>
      </w:r>
      <w:r w:rsidR="00DB5367">
        <w:t xml:space="preserve"> and </w:t>
      </w:r>
      <w:r w:rsidR="00F41B70">
        <w:t>(b</w:t>
      </w:r>
      <w:r w:rsidR="002205A9">
        <w:t>) are necessary to protect against f</w:t>
      </w:r>
      <w:r w:rsidR="00DB5367">
        <w:t xml:space="preserve">oreign </w:t>
      </w:r>
      <w:r w:rsidR="002205A9">
        <w:t>i</w:t>
      </w:r>
      <w:r w:rsidR="00DB5367">
        <w:t>nfluence.</w:t>
      </w:r>
    </w:p>
    <w:p w14:paraId="4303F573" w14:textId="76CC2A8E" w:rsidR="0087243C" w:rsidRDefault="0087243C" w:rsidP="00DC0089"/>
    <w:p w14:paraId="435FE3B9" w14:textId="1D3E78D2" w:rsidR="0087243C" w:rsidRDefault="0087243C" w:rsidP="00DC0089">
      <w:pPr>
        <w:pStyle w:val="ListParagraph"/>
        <w:numPr>
          <w:ilvl w:val="0"/>
          <w:numId w:val="1"/>
        </w:numPr>
        <w:rPr>
          <w:b/>
        </w:rPr>
      </w:pPr>
      <w:r w:rsidRPr="0087243C">
        <w:rPr>
          <w:b/>
        </w:rPr>
        <w:t>Summary of Major Changes</w:t>
      </w:r>
    </w:p>
    <w:p w14:paraId="00ADDA66" w14:textId="77777777" w:rsidR="00882E75" w:rsidRPr="0087243C" w:rsidRDefault="00882E75">
      <w:pPr>
        <w:pStyle w:val="ListParagraph"/>
        <w:rPr>
          <w:b/>
        </w:rPr>
      </w:pPr>
    </w:p>
    <w:p w14:paraId="15262638" w14:textId="593FEE0C" w:rsidR="0087243C" w:rsidRPr="0051773F" w:rsidRDefault="00882E75">
      <w:pPr>
        <w:pStyle w:val="ListParagraph"/>
        <w:numPr>
          <w:ilvl w:val="0"/>
          <w:numId w:val="8"/>
        </w:numPr>
        <w:rPr>
          <w:b/>
          <w:i/>
        </w:rPr>
      </w:pPr>
      <w:r w:rsidRPr="0051773F">
        <w:rPr>
          <w:b/>
          <w:i/>
        </w:rPr>
        <w:t>Changes to Policy 1-006</w:t>
      </w:r>
    </w:p>
    <w:p w14:paraId="049C154F" w14:textId="77777777" w:rsidR="00882E75" w:rsidRDefault="00882E75">
      <w:pPr>
        <w:pStyle w:val="ListParagraph"/>
      </w:pPr>
    </w:p>
    <w:p w14:paraId="1568DDD5" w14:textId="77777777" w:rsidR="00A17C62" w:rsidRDefault="00D76F95">
      <w:pPr>
        <w:ind w:left="720" w:firstLine="360"/>
        <w:rPr>
          <w:u w:val="single"/>
        </w:rPr>
      </w:pPr>
      <w:r w:rsidRPr="00D76F95">
        <w:rPr>
          <w:u w:val="single"/>
        </w:rPr>
        <w:lastRenderedPageBreak/>
        <w:t>Section II – Changes to Definitions</w:t>
      </w:r>
      <w:r w:rsidR="00A17C62">
        <w:rPr>
          <w:u w:val="single"/>
        </w:rPr>
        <w:t xml:space="preserve">. </w:t>
      </w:r>
    </w:p>
    <w:p w14:paraId="02FC7007" w14:textId="77777777" w:rsidR="00DC0089" w:rsidRDefault="00DC0089" w:rsidP="008A3027">
      <w:pPr>
        <w:rPr>
          <w:u w:val="single"/>
        </w:rPr>
      </w:pPr>
    </w:p>
    <w:p w14:paraId="01FB9602" w14:textId="4E508B4A" w:rsidR="0087243C" w:rsidRPr="008A3027" w:rsidRDefault="00A17C62" w:rsidP="008A3027">
      <w:pPr>
        <w:ind w:left="1080"/>
      </w:pPr>
      <w:r w:rsidRPr="008A3027">
        <w:t>The proposed revisions of definitions will make the following changes.</w:t>
      </w:r>
    </w:p>
    <w:p w14:paraId="63FBECB3" w14:textId="77777777" w:rsidR="00071CEA" w:rsidRPr="00D76F95" w:rsidRDefault="00071CEA">
      <w:pPr>
        <w:ind w:left="720" w:firstLine="360"/>
        <w:rPr>
          <w:u w:val="single"/>
        </w:rPr>
      </w:pPr>
    </w:p>
    <w:p w14:paraId="4C7EE812" w14:textId="619DA452" w:rsidR="00D76F95" w:rsidRDefault="00D76F95">
      <w:pPr>
        <w:pStyle w:val="ListParagraph"/>
        <w:numPr>
          <w:ilvl w:val="0"/>
          <w:numId w:val="2"/>
        </w:numPr>
        <w:ind w:left="1440"/>
      </w:pPr>
      <w:r>
        <w:t>Definition of “Business Entity”</w:t>
      </w:r>
    </w:p>
    <w:p w14:paraId="77B5BD05" w14:textId="77777777" w:rsidR="00DC0089" w:rsidRDefault="00DC0089" w:rsidP="008A3027">
      <w:pPr>
        <w:pStyle w:val="ListParagraph"/>
        <w:ind w:left="1440"/>
      </w:pPr>
    </w:p>
    <w:p w14:paraId="68444E56" w14:textId="2FDA1C10" w:rsidR="0030128A" w:rsidRDefault="00B66F60">
      <w:pPr>
        <w:pStyle w:val="ListParagraph"/>
        <w:numPr>
          <w:ilvl w:val="1"/>
          <w:numId w:val="2"/>
        </w:numPr>
        <w:ind w:left="1800"/>
      </w:pPr>
      <w:r>
        <w:t xml:space="preserve">The current </w:t>
      </w:r>
      <w:r w:rsidR="00CC66A0">
        <w:t>definition</w:t>
      </w:r>
      <w:r>
        <w:t xml:space="preserve"> of </w:t>
      </w:r>
      <w:r w:rsidR="00024A29">
        <w:t>“</w:t>
      </w:r>
      <w:r w:rsidR="00C329E9">
        <w:t>Business Entity</w:t>
      </w:r>
      <w:r w:rsidR="00024A29">
        <w:t>”</w:t>
      </w:r>
      <w:r w:rsidR="00C329E9">
        <w:t xml:space="preserve"> </w:t>
      </w:r>
      <w:r w:rsidR="006B5154">
        <w:t>excludes federal, state, or local government agencies, institutions of higher education, academic teaching hospitals, medical centers, and research institutes affiliated with institutions of higher education. The</w:t>
      </w:r>
      <w:r w:rsidR="009B637D">
        <w:t xml:space="preserve"> Utah</w:t>
      </w:r>
      <w:r w:rsidR="006B5154">
        <w:t xml:space="preserve"> Ethics Act</w:t>
      </w:r>
      <w:r w:rsidR="00C927EB">
        <w:t xml:space="preserve"> does not carve out these entities from its</w:t>
      </w:r>
      <w:r w:rsidR="00CC66A0">
        <w:t xml:space="preserve"> definition of </w:t>
      </w:r>
      <w:r w:rsidR="00024A29">
        <w:t>“</w:t>
      </w:r>
      <w:r w:rsidR="00CC66A0">
        <w:t>Business Entity.</w:t>
      </w:r>
      <w:r w:rsidR="00024A29">
        <w:t>”</w:t>
      </w:r>
      <w:r w:rsidR="00CC66A0">
        <w:t xml:space="preserve"> </w:t>
      </w:r>
      <w:r w:rsidR="00B92BFD">
        <w:t xml:space="preserve">Also, federal agencies expect institutions to require individuals to disclose relationships with these entities so that institutions </w:t>
      </w:r>
      <w:r w:rsidR="005668C7">
        <w:t>can</w:t>
      </w:r>
      <w:r w:rsidR="00B92BFD">
        <w:t xml:space="preserve"> address potential issues related to foreign influence. </w:t>
      </w:r>
      <w:r w:rsidR="009B637D">
        <w:t xml:space="preserve">The limited scope of the existing definition </w:t>
      </w:r>
      <w:r w:rsidR="00CE2406">
        <w:t>in Policy 1-006 results in University E</w:t>
      </w:r>
      <w:r w:rsidR="009B637D">
        <w:t xml:space="preserve">mployees not being clearly required to disclose </w:t>
      </w:r>
      <w:r w:rsidR="00CE2406">
        <w:t xml:space="preserve">relationships and interests with such agencies and organizations of importance for the Utah Act and federal agencies. </w:t>
      </w:r>
      <w:r w:rsidR="006B5154">
        <w:t xml:space="preserve">To help ensure </w:t>
      </w:r>
      <w:r w:rsidR="00024A29">
        <w:t>E</w:t>
      </w:r>
      <w:r w:rsidR="006B5154">
        <w:t>mployees</w:t>
      </w:r>
      <w:r w:rsidR="00CE2406">
        <w:t xml:space="preserve"> will</w:t>
      </w:r>
      <w:r w:rsidR="006B5154">
        <w:t xml:space="preserve"> </w:t>
      </w:r>
      <w:r w:rsidR="00717490">
        <w:t>disclose</w:t>
      </w:r>
      <w:r w:rsidR="00C927EB">
        <w:t xml:space="preserve"> </w:t>
      </w:r>
      <w:r w:rsidR="00071CEA">
        <w:t xml:space="preserve">relevant </w:t>
      </w:r>
      <w:r w:rsidR="00717490">
        <w:t xml:space="preserve">interests in and relationships with </w:t>
      </w:r>
      <w:r w:rsidR="00184466">
        <w:t xml:space="preserve">all </w:t>
      </w:r>
      <w:r w:rsidR="00024A29">
        <w:t>B</w:t>
      </w:r>
      <w:r w:rsidR="00184466">
        <w:t xml:space="preserve">usiness </w:t>
      </w:r>
      <w:r w:rsidR="00024A29">
        <w:t>E</w:t>
      </w:r>
      <w:r w:rsidR="00184466">
        <w:t xml:space="preserve">ntities, </w:t>
      </w:r>
      <w:r w:rsidR="00CE2406">
        <w:t xml:space="preserve">the </w:t>
      </w:r>
      <w:r w:rsidR="00A17C62">
        <w:t>e</w:t>
      </w:r>
      <w:r w:rsidR="00CE2406">
        <w:t>xpanded definition will include those previously</w:t>
      </w:r>
      <w:r w:rsidR="00F86C06">
        <w:t xml:space="preserve"> </w:t>
      </w:r>
      <w:r w:rsidR="00CE2406">
        <w:t xml:space="preserve">excluded types of </w:t>
      </w:r>
      <w:r w:rsidR="00F86C06">
        <w:t>agencies and</w:t>
      </w:r>
      <w:r w:rsidR="00CE2406">
        <w:t xml:space="preserve"> organizations</w:t>
      </w:r>
      <w:r w:rsidR="0030128A">
        <w:t>.</w:t>
      </w:r>
    </w:p>
    <w:p w14:paraId="5D7356AC" w14:textId="77777777" w:rsidR="00DC0089" w:rsidRDefault="00DC0089" w:rsidP="008A3027">
      <w:pPr>
        <w:pStyle w:val="ListParagraph"/>
        <w:ind w:left="1800"/>
      </w:pPr>
    </w:p>
    <w:p w14:paraId="60587187" w14:textId="689DD773" w:rsidR="00EE7F79" w:rsidRDefault="00CC66A0">
      <w:pPr>
        <w:pStyle w:val="ListParagraph"/>
        <w:numPr>
          <w:ilvl w:val="1"/>
          <w:numId w:val="2"/>
        </w:numPr>
        <w:ind w:left="1800"/>
      </w:pPr>
      <w:r>
        <w:t>Significantly,</w:t>
      </w:r>
      <w:r w:rsidR="00CE2406">
        <w:t xml:space="preserve"> however,</w:t>
      </w:r>
      <w:r>
        <w:t xml:space="preserve"> w</w:t>
      </w:r>
      <w:r w:rsidR="00EE7F79">
        <w:t xml:space="preserve">hen </w:t>
      </w:r>
      <w:r w:rsidR="00E50F51">
        <w:t>the COI Committee evaluates R</w:t>
      </w:r>
      <w:r w:rsidR="00EE7F79">
        <w:t xml:space="preserve">esearch for conflicts of interest, the COI Committee will not consider an individual’s </w:t>
      </w:r>
      <w:r w:rsidR="00CE2406">
        <w:t xml:space="preserve">disclosed </w:t>
      </w:r>
      <w:r w:rsidR="00EE7F79">
        <w:t>relationships with</w:t>
      </w:r>
      <w:r w:rsidR="009614EA">
        <w:t>,</w:t>
      </w:r>
      <w:r w:rsidR="00EE7F79">
        <w:t xml:space="preserve"> or interests in</w:t>
      </w:r>
      <w:r w:rsidR="009614EA">
        <w:t>,</w:t>
      </w:r>
      <w:r w:rsidR="00EE7F79">
        <w:t xml:space="preserve"> </w:t>
      </w:r>
      <w:r w:rsidR="00CE2406">
        <w:t xml:space="preserve">such </w:t>
      </w:r>
      <w:r w:rsidR="00EE7F79">
        <w:t xml:space="preserve">federal, state, or local government agencies, institutions of higher education, academic teaching hospitals, medical centers, or research institutes affiliated with institutions of higher education. This is consistent with the NIH conflict of interest policy and </w:t>
      </w:r>
      <w:r>
        <w:t xml:space="preserve">reflects </w:t>
      </w:r>
      <w:r w:rsidR="00EE7F79">
        <w:t>the COI Committee’s current practice.</w:t>
      </w:r>
    </w:p>
    <w:p w14:paraId="0A5F5543" w14:textId="77777777" w:rsidR="00DC0089" w:rsidRDefault="00DC0089" w:rsidP="008A3027">
      <w:pPr>
        <w:pStyle w:val="ListParagraph"/>
        <w:ind w:left="1800"/>
      </w:pPr>
    </w:p>
    <w:p w14:paraId="18B45A15" w14:textId="11C7BE9A" w:rsidR="0030128A" w:rsidRDefault="0030128A">
      <w:pPr>
        <w:pStyle w:val="ListParagraph"/>
        <w:numPr>
          <w:ilvl w:val="0"/>
          <w:numId w:val="2"/>
        </w:numPr>
        <w:ind w:left="1440"/>
      </w:pPr>
      <w:r>
        <w:t>Definition of “Compensation”</w:t>
      </w:r>
    </w:p>
    <w:p w14:paraId="36E7DE81" w14:textId="77777777" w:rsidR="00DC0089" w:rsidRDefault="00DC0089" w:rsidP="008A3027">
      <w:pPr>
        <w:pStyle w:val="ListParagraph"/>
        <w:ind w:left="1440"/>
      </w:pPr>
    </w:p>
    <w:p w14:paraId="418E885D" w14:textId="7B734E35" w:rsidR="0030128A" w:rsidRDefault="0030128A">
      <w:pPr>
        <w:pStyle w:val="CommentText"/>
        <w:numPr>
          <w:ilvl w:val="1"/>
          <w:numId w:val="2"/>
        </w:numPr>
        <w:ind w:left="1800"/>
        <w:rPr>
          <w:rFonts w:ascii="Palatino" w:hAnsi="Palatino"/>
          <w:sz w:val="24"/>
          <w:szCs w:val="24"/>
        </w:rPr>
      </w:pPr>
      <w:r w:rsidRPr="0030128A">
        <w:rPr>
          <w:rFonts w:ascii="Palatino" w:hAnsi="Palatino"/>
          <w:sz w:val="24"/>
          <w:szCs w:val="24"/>
        </w:rPr>
        <w:t>Th</w:t>
      </w:r>
      <w:r w:rsidR="00820F4C">
        <w:rPr>
          <w:rFonts w:ascii="Palatino" w:hAnsi="Palatino"/>
          <w:sz w:val="24"/>
          <w:szCs w:val="24"/>
        </w:rPr>
        <w:t xml:space="preserve">e revised definition of </w:t>
      </w:r>
      <w:r w:rsidR="00024A29">
        <w:rPr>
          <w:rFonts w:ascii="Palatino" w:hAnsi="Palatino"/>
          <w:sz w:val="24"/>
          <w:szCs w:val="24"/>
        </w:rPr>
        <w:t>“</w:t>
      </w:r>
      <w:r w:rsidR="00820F4C">
        <w:rPr>
          <w:rFonts w:ascii="Palatino" w:hAnsi="Palatino"/>
          <w:sz w:val="24"/>
          <w:szCs w:val="24"/>
        </w:rPr>
        <w:t>Compensation</w:t>
      </w:r>
      <w:r w:rsidR="00024A29">
        <w:rPr>
          <w:rFonts w:ascii="Palatino" w:hAnsi="Palatino"/>
          <w:sz w:val="24"/>
          <w:szCs w:val="24"/>
        </w:rPr>
        <w:t>”</w:t>
      </w:r>
      <w:r w:rsidR="00CE2406">
        <w:rPr>
          <w:rFonts w:ascii="Palatino" w:hAnsi="Palatino"/>
          <w:sz w:val="24"/>
          <w:szCs w:val="24"/>
        </w:rPr>
        <w:t xml:space="preserve"> will</w:t>
      </w:r>
      <w:r w:rsidR="00820F4C">
        <w:rPr>
          <w:rFonts w:ascii="Palatino" w:hAnsi="Palatino"/>
          <w:sz w:val="24"/>
          <w:szCs w:val="24"/>
        </w:rPr>
        <w:t xml:space="preserve"> </w:t>
      </w:r>
      <w:r w:rsidRPr="0030128A">
        <w:rPr>
          <w:rFonts w:ascii="Palatino" w:hAnsi="Palatino"/>
          <w:sz w:val="24"/>
          <w:szCs w:val="24"/>
        </w:rPr>
        <w:t xml:space="preserve">cover future payments </w:t>
      </w:r>
      <w:r w:rsidR="00820F4C">
        <w:rPr>
          <w:rFonts w:ascii="Palatino" w:hAnsi="Palatino"/>
          <w:sz w:val="24"/>
          <w:szCs w:val="24"/>
        </w:rPr>
        <w:t xml:space="preserve">and other beneficial interests </w:t>
      </w:r>
      <w:r w:rsidRPr="0030128A">
        <w:rPr>
          <w:rFonts w:ascii="Palatino" w:hAnsi="Palatino"/>
          <w:sz w:val="24"/>
          <w:szCs w:val="24"/>
        </w:rPr>
        <w:t xml:space="preserve">that may create a </w:t>
      </w:r>
      <w:r w:rsidR="00820F4C">
        <w:rPr>
          <w:rFonts w:ascii="Palatino" w:hAnsi="Palatino"/>
          <w:sz w:val="24"/>
          <w:szCs w:val="24"/>
        </w:rPr>
        <w:t>conflict of interest</w:t>
      </w:r>
      <w:r w:rsidR="00AB5B32">
        <w:rPr>
          <w:rFonts w:ascii="Palatino" w:hAnsi="Palatino"/>
          <w:sz w:val="24"/>
          <w:szCs w:val="24"/>
        </w:rPr>
        <w:t>. For example,</w:t>
      </w:r>
      <w:r w:rsidRPr="0030128A">
        <w:rPr>
          <w:rFonts w:ascii="Palatino" w:hAnsi="Palatino"/>
          <w:sz w:val="24"/>
          <w:szCs w:val="24"/>
        </w:rPr>
        <w:t xml:space="preserve"> if an individual sold her company, and the contract of sale had an “earn out” clause that enabled her to earn money over future years depending on the company meeting certain earning thresholds, that interest</w:t>
      </w:r>
      <w:r w:rsidR="00AB5B32">
        <w:rPr>
          <w:rFonts w:ascii="Palatino" w:hAnsi="Palatino"/>
          <w:sz w:val="24"/>
          <w:szCs w:val="24"/>
        </w:rPr>
        <w:t xml:space="preserve"> would be considered Compensation. Similarly, if an employee’s friend h</w:t>
      </w:r>
      <w:r w:rsidR="00933CE9">
        <w:rPr>
          <w:rFonts w:ascii="Palatino" w:hAnsi="Palatino"/>
          <w:sz w:val="24"/>
          <w:szCs w:val="24"/>
        </w:rPr>
        <w:t>eld</w:t>
      </w:r>
      <w:r w:rsidR="00AB5B32">
        <w:rPr>
          <w:rFonts w:ascii="Palatino" w:hAnsi="Palatino"/>
          <w:sz w:val="24"/>
          <w:szCs w:val="24"/>
        </w:rPr>
        <w:t xml:space="preserve"> an Equity Interest in a Business Entity on behalf of the employee, that</w:t>
      </w:r>
      <w:r w:rsidR="003567D4">
        <w:rPr>
          <w:rFonts w:ascii="Palatino" w:hAnsi="Palatino"/>
          <w:sz w:val="24"/>
          <w:szCs w:val="24"/>
        </w:rPr>
        <w:t xml:space="preserve"> Equity Interest</w:t>
      </w:r>
      <w:r w:rsidR="00AB5B32">
        <w:rPr>
          <w:rFonts w:ascii="Palatino" w:hAnsi="Palatino"/>
          <w:sz w:val="24"/>
          <w:szCs w:val="24"/>
        </w:rPr>
        <w:t xml:space="preserve"> would be considered Compensation.</w:t>
      </w:r>
    </w:p>
    <w:p w14:paraId="118C5240" w14:textId="77777777" w:rsidR="00DC0089" w:rsidRPr="0030128A" w:rsidRDefault="00DC0089" w:rsidP="008A3027">
      <w:pPr>
        <w:pStyle w:val="CommentText"/>
        <w:ind w:left="1800"/>
        <w:rPr>
          <w:rFonts w:ascii="Palatino" w:hAnsi="Palatino"/>
          <w:sz w:val="24"/>
          <w:szCs w:val="24"/>
        </w:rPr>
      </w:pPr>
    </w:p>
    <w:p w14:paraId="45D706B7" w14:textId="1941F3C5" w:rsidR="0030128A" w:rsidRDefault="0030128A">
      <w:pPr>
        <w:pStyle w:val="ListParagraph"/>
        <w:numPr>
          <w:ilvl w:val="0"/>
          <w:numId w:val="2"/>
        </w:numPr>
        <w:ind w:left="1440"/>
      </w:pPr>
      <w:r>
        <w:t>Definition of “Disclosure Form”</w:t>
      </w:r>
    </w:p>
    <w:p w14:paraId="12319E64" w14:textId="77777777" w:rsidR="00DC0089" w:rsidRDefault="00DC0089" w:rsidP="008A3027">
      <w:pPr>
        <w:pStyle w:val="ListParagraph"/>
        <w:ind w:left="1440"/>
      </w:pPr>
    </w:p>
    <w:p w14:paraId="5CE7D86A" w14:textId="15F82C69" w:rsidR="007F7204" w:rsidRDefault="007F7204">
      <w:pPr>
        <w:pStyle w:val="ListParagraph"/>
        <w:numPr>
          <w:ilvl w:val="1"/>
          <w:numId w:val="2"/>
        </w:numPr>
        <w:ind w:left="1800"/>
      </w:pPr>
      <w:r>
        <w:t xml:space="preserve">Renamed to “BRR Disclosure Form” to </w:t>
      </w:r>
      <w:r w:rsidR="00255B87">
        <w:t>specify</w:t>
      </w:r>
      <w:r>
        <w:t xml:space="preserve"> which form is required to be submitted in compliance with Policy 1-006.</w:t>
      </w:r>
    </w:p>
    <w:p w14:paraId="6CCC68C5" w14:textId="77777777" w:rsidR="00DC0089" w:rsidRDefault="00DC0089" w:rsidP="008A3027">
      <w:pPr>
        <w:pStyle w:val="ListParagraph"/>
        <w:ind w:left="1800"/>
      </w:pPr>
    </w:p>
    <w:p w14:paraId="7A03559B" w14:textId="20D6138E" w:rsidR="00AD3D18" w:rsidRDefault="002B3183">
      <w:pPr>
        <w:pStyle w:val="ListParagraph"/>
        <w:numPr>
          <w:ilvl w:val="1"/>
          <w:numId w:val="2"/>
        </w:numPr>
        <w:ind w:left="1800"/>
      </w:pPr>
      <w:r>
        <w:lastRenderedPageBreak/>
        <w:t xml:space="preserve">The revised definition no longer references the </w:t>
      </w:r>
      <w:r w:rsidR="00DC0089">
        <w:t xml:space="preserve">BRR </w:t>
      </w:r>
      <w:r>
        <w:t xml:space="preserve">Disclosure Form's contents--details that are better addressed in the body of the policy or relevant rule. </w:t>
      </w:r>
    </w:p>
    <w:p w14:paraId="6288AA75" w14:textId="77777777" w:rsidR="00DC0089" w:rsidRDefault="00DC0089" w:rsidP="008A3027">
      <w:pPr>
        <w:pStyle w:val="ListParagraph"/>
      </w:pPr>
    </w:p>
    <w:p w14:paraId="675DD65D" w14:textId="289070A4" w:rsidR="00AD3D18" w:rsidRDefault="00AD3D18">
      <w:pPr>
        <w:pStyle w:val="ListParagraph"/>
        <w:numPr>
          <w:ilvl w:val="0"/>
          <w:numId w:val="2"/>
        </w:numPr>
        <w:ind w:left="1440"/>
      </w:pPr>
      <w:r>
        <w:t>Definition of “Employee”</w:t>
      </w:r>
      <w:r w:rsidR="00990E4A">
        <w:t xml:space="preserve"> and sub-categories</w:t>
      </w:r>
    </w:p>
    <w:p w14:paraId="483DFC39" w14:textId="77777777" w:rsidR="00DC0089" w:rsidRDefault="00DC0089" w:rsidP="008A3027">
      <w:pPr>
        <w:pStyle w:val="ListParagraph"/>
        <w:ind w:left="1440"/>
      </w:pPr>
    </w:p>
    <w:p w14:paraId="785FDD99" w14:textId="10B10197" w:rsidR="00AD3D18" w:rsidRDefault="008D247B">
      <w:pPr>
        <w:pStyle w:val="ListParagraph"/>
        <w:numPr>
          <w:ilvl w:val="1"/>
          <w:numId w:val="2"/>
        </w:numPr>
        <w:ind w:left="1800"/>
      </w:pPr>
      <w:r>
        <w:t>T</w:t>
      </w:r>
      <w:r w:rsidR="00AD3D18">
        <w:t>he</w:t>
      </w:r>
      <w:r>
        <w:t xml:space="preserve"> revised</w:t>
      </w:r>
      <w:r w:rsidR="00AD3D18">
        <w:t xml:space="preserve"> definition of </w:t>
      </w:r>
      <w:r w:rsidR="00024A29">
        <w:t>“</w:t>
      </w:r>
      <w:r w:rsidR="00AD3D18">
        <w:t>Employee</w:t>
      </w:r>
      <w:r w:rsidR="00024A29">
        <w:t>”</w:t>
      </w:r>
      <w:r w:rsidR="00AD3D18">
        <w:t xml:space="preserve"> </w:t>
      </w:r>
      <w:r w:rsidR="00CE2406">
        <w:t xml:space="preserve">will </w:t>
      </w:r>
      <w:r>
        <w:t>clarif</w:t>
      </w:r>
      <w:r w:rsidR="00CE2406">
        <w:t>y</w:t>
      </w:r>
      <w:r w:rsidR="00ED79D1">
        <w:t xml:space="preserve"> that </w:t>
      </w:r>
      <w:r w:rsidR="00990E4A">
        <w:t xml:space="preserve">the sub-category of </w:t>
      </w:r>
      <w:r w:rsidR="00531236">
        <w:t>“</w:t>
      </w:r>
      <w:r w:rsidR="00ED79D1">
        <w:t>faculty</w:t>
      </w:r>
      <w:r w:rsidR="00531236">
        <w:t>”</w:t>
      </w:r>
      <w:r w:rsidR="00ED79D1">
        <w:t xml:space="preserve"> includes paid and </w:t>
      </w:r>
      <w:r w:rsidR="00AD3D18">
        <w:t>unpaid faculty</w:t>
      </w:r>
      <w:r w:rsidR="001A6993">
        <w:t>.</w:t>
      </w:r>
      <w:r w:rsidR="00C82476">
        <w:t xml:space="preserve"> It also clarifies that an individual who is a student, but also employed by the University, is considered an Employee for purposes of this </w:t>
      </w:r>
      <w:r w:rsidR="00990E4A">
        <w:t>P</w:t>
      </w:r>
      <w:r w:rsidR="00C82476">
        <w:t xml:space="preserve">olicy. Similarly, it clarifies that an individual who meets the definition of an Investigator and also the definition of an Employee is subject to the requirements established under this </w:t>
      </w:r>
      <w:r w:rsidR="00990E4A">
        <w:t>P</w:t>
      </w:r>
      <w:r w:rsidR="00C82476">
        <w:t xml:space="preserve">olicy for both such categories of personnel. </w:t>
      </w:r>
    </w:p>
    <w:p w14:paraId="7196C329" w14:textId="77777777" w:rsidR="00DC0089" w:rsidRDefault="00DC0089" w:rsidP="008A3027">
      <w:pPr>
        <w:pStyle w:val="ListParagraph"/>
        <w:ind w:left="1800"/>
      </w:pPr>
    </w:p>
    <w:p w14:paraId="6533F09A" w14:textId="78802B79" w:rsidR="00AD3D18" w:rsidRDefault="00AD3D18">
      <w:pPr>
        <w:pStyle w:val="ListParagraph"/>
        <w:numPr>
          <w:ilvl w:val="0"/>
          <w:numId w:val="2"/>
        </w:numPr>
        <w:ind w:left="1440"/>
      </w:pPr>
      <w:r>
        <w:t>Definition of “Equity Interest”</w:t>
      </w:r>
    </w:p>
    <w:p w14:paraId="6810C25B" w14:textId="77777777" w:rsidR="00DC0089" w:rsidRDefault="00DC0089" w:rsidP="008A3027">
      <w:pPr>
        <w:pStyle w:val="ListParagraph"/>
        <w:ind w:left="1440"/>
      </w:pPr>
    </w:p>
    <w:p w14:paraId="7C98AB60" w14:textId="1F2F52CD" w:rsidR="00AD3D18" w:rsidRDefault="008D247B">
      <w:pPr>
        <w:pStyle w:val="ListParagraph"/>
        <w:numPr>
          <w:ilvl w:val="1"/>
          <w:numId w:val="2"/>
        </w:numPr>
        <w:ind w:left="1800"/>
      </w:pPr>
      <w:r>
        <w:t xml:space="preserve">The current </w:t>
      </w:r>
      <w:r w:rsidR="00990E4A">
        <w:t>P</w:t>
      </w:r>
      <w:r>
        <w:t xml:space="preserve">olicy </w:t>
      </w:r>
      <w:r w:rsidR="00990E4A">
        <w:t xml:space="preserve">has definitions </w:t>
      </w:r>
      <w:r w:rsidR="009F3FBE">
        <w:t>of “</w:t>
      </w:r>
      <w:r>
        <w:t xml:space="preserve">equity interest” </w:t>
      </w:r>
      <w:r w:rsidR="00990E4A">
        <w:t xml:space="preserve">repeated </w:t>
      </w:r>
      <w:r>
        <w:t xml:space="preserve">throughout the </w:t>
      </w:r>
      <w:r w:rsidR="00990E4A">
        <w:t>P</w:t>
      </w:r>
      <w:r>
        <w:t xml:space="preserve">olicy. The addition of </w:t>
      </w:r>
      <w:r w:rsidR="00024A29">
        <w:t>“</w:t>
      </w:r>
      <w:r>
        <w:t>Equity Interest</w:t>
      </w:r>
      <w:r w:rsidR="00024A29">
        <w:t>”</w:t>
      </w:r>
      <w:r>
        <w:t xml:space="preserve"> </w:t>
      </w:r>
      <w:r w:rsidR="00990E4A">
        <w:t xml:space="preserve">in Section II </w:t>
      </w:r>
      <w:r>
        <w:t xml:space="preserve">as a defined term </w:t>
      </w:r>
      <w:r w:rsidR="00990E4A">
        <w:t xml:space="preserve">will </w:t>
      </w:r>
      <w:r>
        <w:t>eliminate this</w:t>
      </w:r>
      <w:r w:rsidR="00AD3D18">
        <w:t xml:space="preserve"> redundancy.</w:t>
      </w:r>
    </w:p>
    <w:p w14:paraId="7588508C" w14:textId="77777777" w:rsidR="00DC0089" w:rsidRDefault="00DC0089" w:rsidP="008A3027">
      <w:pPr>
        <w:pStyle w:val="ListParagraph"/>
        <w:ind w:left="1800"/>
      </w:pPr>
    </w:p>
    <w:p w14:paraId="326E5981" w14:textId="678B705A" w:rsidR="00AD3D18" w:rsidRDefault="00AD3D18">
      <w:pPr>
        <w:pStyle w:val="ListParagraph"/>
        <w:numPr>
          <w:ilvl w:val="0"/>
          <w:numId w:val="2"/>
        </w:numPr>
        <w:ind w:left="1440"/>
      </w:pPr>
      <w:r>
        <w:t>Definition of “Financial Relationships”</w:t>
      </w:r>
    </w:p>
    <w:p w14:paraId="6B621BE3" w14:textId="77777777" w:rsidR="00DC0089" w:rsidRDefault="00DC0089" w:rsidP="008A3027">
      <w:pPr>
        <w:pStyle w:val="ListParagraph"/>
        <w:ind w:left="1440"/>
      </w:pPr>
    </w:p>
    <w:p w14:paraId="5C0FC4FC" w14:textId="5985DCF3" w:rsidR="003A63C6" w:rsidRDefault="00557402">
      <w:pPr>
        <w:pStyle w:val="ListParagraph"/>
        <w:numPr>
          <w:ilvl w:val="1"/>
          <w:numId w:val="2"/>
        </w:numPr>
        <w:ind w:left="1800"/>
      </w:pPr>
      <w:r>
        <w:t xml:space="preserve">The current </w:t>
      </w:r>
      <w:r w:rsidR="00990E4A">
        <w:t>P</w:t>
      </w:r>
      <w:r>
        <w:t>olicy requires</w:t>
      </w:r>
      <w:r w:rsidR="008221D8">
        <w:t xml:space="preserve"> individuals</w:t>
      </w:r>
      <w:r w:rsidR="00AE381A">
        <w:t xml:space="preserve"> involved </w:t>
      </w:r>
      <w:r w:rsidR="00F40A6E">
        <w:t xml:space="preserve">in certain University activities </w:t>
      </w:r>
      <w:r>
        <w:t>to</w:t>
      </w:r>
      <w:r w:rsidR="008221D8">
        <w:t xml:space="preserve"> disclose their </w:t>
      </w:r>
      <w:r>
        <w:t>“</w:t>
      </w:r>
      <w:r w:rsidR="008221D8">
        <w:t>Significant Financial Interests,</w:t>
      </w:r>
      <w:r>
        <w:t>”</w:t>
      </w:r>
      <w:r w:rsidR="008221D8">
        <w:t xml:space="preserve"> a term that </w:t>
      </w:r>
      <w:r w:rsidR="00531236">
        <w:t>originates</w:t>
      </w:r>
      <w:r w:rsidR="008221D8">
        <w:t xml:space="preserve"> from the NIH conflict of interest policy. Because the </w:t>
      </w:r>
      <w:r w:rsidR="00990E4A">
        <w:t xml:space="preserve">Utah </w:t>
      </w:r>
      <w:r w:rsidR="008221D8">
        <w:t xml:space="preserve">Ethics Act </w:t>
      </w:r>
      <w:r w:rsidR="00DB5367">
        <w:t xml:space="preserve">and federal </w:t>
      </w:r>
      <w:r w:rsidR="009A12E1">
        <w:t>guidance</w:t>
      </w:r>
      <w:r w:rsidR="00DB5367">
        <w:t xml:space="preserve"> </w:t>
      </w:r>
      <w:r w:rsidR="009A12E1">
        <w:t>on</w:t>
      </w:r>
      <w:r w:rsidR="00DB5367">
        <w:t xml:space="preserve"> </w:t>
      </w:r>
      <w:r w:rsidR="009A12E1">
        <w:t>f</w:t>
      </w:r>
      <w:r w:rsidR="00DB5367">
        <w:t xml:space="preserve">oreign </w:t>
      </w:r>
      <w:r w:rsidR="009A12E1">
        <w:t>i</w:t>
      </w:r>
      <w:r w:rsidR="00DB5367">
        <w:t xml:space="preserve">nfluence </w:t>
      </w:r>
      <w:r w:rsidR="008221D8">
        <w:t xml:space="preserve">require </w:t>
      </w:r>
      <w:r w:rsidR="00024A29">
        <w:t>public e</w:t>
      </w:r>
      <w:r w:rsidR="008221D8">
        <w:t xml:space="preserve">mployees </w:t>
      </w:r>
      <w:r w:rsidR="003A63C6">
        <w:t xml:space="preserve">who are engaged in business transactions on behalf of the University </w:t>
      </w:r>
      <w:r w:rsidR="008221D8">
        <w:t xml:space="preserve">to disclose additional relationships and interests that </w:t>
      </w:r>
      <w:r w:rsidR="00D93A80">
        <w:t>may</w:t>
      </w:r>
      <w:r w:rsidR="00F40A6E">
        <w:t xml:space="preserve"> not </w:t>
      </w:r>
      <w:r w:rsidR="00D93A80">
        <w:t xml:space="preserve">always fall within the definition of </w:t>
      </w:r>
      <w:r w:rsidR="008221D8">
        <w:t>Significant Financial Interest</w:t>
      </w:r>
      <w:r w:rsidR="00427DFE">
        <w:t xml:space="preserve"> (e.g., serving as an unpaid officer, an agent, an employee who earns less than $5,000 a year, etc.)</w:t>
      </w:r>
      <w:r w:rsidR="008221D8">
        <w:t xml:space="preserve">, </w:t>
      </w:r>
      <w:r w:rsidR="00990E4A">
        <w:t>the proposal includes</w:t>
      </w:r>
      <w:r w:rsidR="00B6659E">
        <w:t xml:space="preserve"> </w:t>
      </w:r>
      <w:r w:rsidR="00F40A6E">
        <w:t>creat</w:t>
      </w:r>
      <w:r w:rsidR="00990E4A">
        <w:t>ing</w:t>
      </w:r>
      <w:r w:rsidR="00F40A6E">
        <w:t xml:space="preserve"> a new term, </w:t>
      </w:r>
      <w:r>
        <w:t>“</w:t>
      </w:r>
      <w:r w:rsidR="00F40A6E">
        <w:t>Financial Relationships,</w:t>
      </w:r>
      <w:r>
        <w:t>”</w:t>
      </w:r>
      <w:r w:rsidR="00F40A6E">
        <w:t xml:space="preserve"> and </w:t>
      </w:r>
      <w:r w:rsidR="00B6659E">
        <w:t>broaden</w:t>
      </w:r>
      <w:r w:rsidR="00990E4A">
        <w:t>ing</w:t>
      </w:r>
      <w:r w:rsidR="00B6659E">
        <w:t xml:space="preserve"> th</w:t>
      </w:r>
      <w:r w:rsidR="008221D8">
        <w:t>e</w:t>
      </w:r>
      <w:r w:rsidR="00B6659E">
        <w:t xml:space="preserve"> </w:t>
      </w:r>
      <w:r w:rsidR="00F40A6E">
        <w:t>types of interests and relationships that individuals must disclose,</w:t>
      </w:r>
      <w:r w:rsidR="00B6659E">
        <w:t xml:space="preserve"> </w:t>
      </w:r>
      <w:r w:rsidR="008221D8">
        <w:t>so that it is consistent with NIH policy</w:t>
      </w:r>
      <w:r w:rsidR="009A12E1">
        <w:t>,</w:t>
      </w:r>
      <w:r w:rsidR="008221D8">
        <w:t xml:space="preserve"> the Ethics Act</w:t>
      </w:r>
      <w:r w:rsidR="009A12E1">
        <w:t xml:space="preserve">, and federal </w:t>
      </w:r>
      <w:r w:rsidR="006D4AF6">
        <w:t>guidance</w:t>
      </w:r>
      <w:r w:rsidR="009A12E1">
        <w:t xml:space="preserve"> on foreign influence</w:t>
      </w:r>
      <w:r w:rsidR="008221D8">
        <w:t xml:space="preserve">. </w:t>
      </w:r>
      <w:r w:rsidR="000E37C1">
        <w:t xml:space="preserve">This will help ensure </w:t>
      </w:r>
      <w:r>
        <w:t xml:space="preserve">that </w:t>
      </w:r>
      <w:r w:rsidR="00024A29">
        <w:t>E</w:t>
      </w:r>
      <w:r w:rsidR="000E37C1">
        <w:t xml:space="preserve">mployees make </w:t>
      </w:r>
      <w:r w:rsidR="00E279C7">
        <w:t xml:space="preserve">appropriate </w:t>
      </w:r>
      <w:r w:rsidR="000E37C1">
        <w:t xml:space="preserve">disclosures </w:t>
      </w:r>
      <w:r w:rsidR="00E279C7">
        <w:t>as required by law</w:t>
      </w:r>
      <w:r w:rsidR="000E37C1">
        <w:t>.</w:t>
      </w:r>
    </w:p>
    <w:p w14:paraId="7F7A2F10" w14:textId="77777777" w:rsidR="00DC0089" w:rsidRDefault="00DC0089" w:rsidP="008A3027">
      <w:pPr>
        <w:pStyle w:val="ListParagraph"/>
        <w:ind w:left="1800"/>
      </w:pPr>
    </w:p>
    <w:p w14:paraId="2DB01EC2" w14:textId="3A57B884" w:rsidR="009A1E63" w:rsidRDefault="009A1E63">
      <w:pPr>
        <w:pStyle w:val="ListParagraph"/>
        <w:numPr>
          <w:ilvl w:val="1"/>
          <w:numId w:val="2"/>
        </w:numPr>
        <w:ind w:left="1800"/>
      </w:pPr>
      <w:r>
        <w:t xml:space="preserve">Under </w:t>
      </w:r>
      <w:r w:rsidR="00990E4A">
        <w:t xml:space="preserve">the </w:t>
      </w:r>
      <w:r>
        <w:t xml:space="preserve">current </w:t>
      </w:r>
      <w:r w:rsidR="00990E4A">
        <w:t>P</w:t>
      </w:r>
      <w:r>
        <w:t xml:space="preserve">olicy, individuals must disclose if they have Intellectual Property rights and interests when the patent application is filed or when the copyright is asserted or upon receipt of income related to such rights and interests. The revised </w:t>
      </w:r>
      <w:r w:rsidR="00990E4A">
        <w:t>P</w:t>
      </w:r>
      <w:r>
        <w:t xml:space="preserve">olicy </w:t>
      </w:r>
      <w:r w:rsidR="00990E4A">
        <w:t xml:space="preserve">will </w:t>
      </w:r>
      <w:r>
        <w:t xml:space="preserve">narrow that disclosure obligation so that individuals need only disclose Intellectual Property if it is imminent of commercialization or if it has been commercialized. This change reflects the COI Committee’s practice of only considering conflicts related to Intellectual Property if that </w:t>
      </w:r>
      <w:r w:rsidR="00AE381A">
        <w:t>Intellectual P</w:t>
      </w:r>
      <w:r>
        <w:t>roperty has been, or will soon be</w:t>
      </w:r>
      <w:r w:rsidR="00B64C28">
        <w:t>,</w:t>
      </w:r>
      <w:r>
        <w:t xml:space="preserve"> commercialized.</w:t>
      </w:r>
    </w:p>
    <w:p w14:paraId="19DD8879" w14:textId="77777777" w:rsidR="00DC0089" w:rsidRDefault="00DC0089" w:rsidP="008A3027">
      <w:pPr>
        <w:pStyle w:val="ListParagraph"/>
      </w:pPr>
    </w:p>
    <w:p w14:paraId="1448982F" w14:textId="79D9FDD0" w:rsidR="009A1E63" w:rsidRDefault="00F8035C">
      <w:pPr>
        <w:pStyle w:val="ListParagraph"/>
        <w:numPr>
          <w:ilvl w:val="1"/>
          <w:numId w:val="2"/>
        </w:numPr>
        <w:ind w:left="1800"/>
      </w:pPr>
      <w:r>
        <w:lastRenderedPageBreak/>
        <w:t xml:space="preserve">Although the disclosure of a Financial Relationship that is reasonably related to certain University activities will generate a conflict of interest review, the COI Committee will not consider a Financial Relationship to </w:t>
      </w:r>
      <w:r w:rsidR="00E50F51">
        <w:t xml:space="preserve">create a </w:t>
      </w:r>
      <w:r w:rsidR="002259D5">
        <w:t xml:space="preserve">conflict of interest related to </w:t>
      </w:r>
      <w:r w:rsidR="00E50F51">
        <w:t>R</w:t>
      </w:r>
      <w:r w:rsidR="006F6608">
        <w:t>esearch</w:t>
      </w:r>
      <w:r w:rsidR="002259D5">
        <w:t xml:space="preserve"> or </w:t>
      </w:r>
      <w:r w:rsidR="00E43BF6">
        <w:t>Scholarly or Educational</w:t>
      </w:r>
      <w:r w:rsidR="002259D5">
        <w:t xml:space="preserve"> Activity </w:t>
      </w:r>
      <w:r>
        <w:t xml:space="preserve">unless that </w:t>
      </w:r>
      <w:r w:rsidR="00024A29">
        <w:t xml:space="preserve">Financial </w:t>
      </w:r>
      <w:r>
        <w:t xml:space="preserve">Relationship also meets the definition of </w:t>
      </w:r>
      <w:r w:rsidR="00AD3D18" w:rsidRPr="009F3FBE">
        <w:rPr>
          <w:i/>
        </w:rPr>
        <w:t>Significant</w:t>
      </w:r>
      <w:r w:rsidR="00AD3D18">
        <w:t xml:space="preserve"> Financial Interest. </w:t>
      </w:r>
      <w:r w:rsidR="00606217">
        <w:t xml:space="preserve">In other words, the new requirement to disclose </w:t>
      </w:r>
      <w:r w:rsidR="00606217" w:rsidRPr="009F3FBE">
        <w:rPr>
          <w:i/>
        </w:rPr>
        <w:t>Financial Relationships</w:t>
      </w:r>
      <w:r w:rsidR="00531236">
        <w:t xml:space="preserve">, as opposed to </w:t>
      </w:r>
      <w:r w:rsidR="00531236" w:rsidRPr="009F3FBE">
        <w:rPr>
          <w:i/>
        </w:rPr>
        <w:t xml:space="preserve">Significant </w:t>
      </w:r>
      <w:r w:rsidR="00531236">
        <w:t>Financial Interests,</w:t>
      </w:r>
      <w:r w:rsidR="00606217">
        <w:t xml:space="preserve"> will not change the way the COI Committee reviews conflicts of interest </w:t>
      </w:r>
      <w:r w:rsidR="00E50F51">
        <w:t>related to R</w:t>
      </w:r>
      <w:r w:rsidR="00606217">
        <w:t>esearch</w:t>
      </w:r>
      <w:r w:rsidR="00E43BF6">
        <w:t xml:space="preserve"> </w:t>
      </w:r>
      <w:r w:rsidR="002259D5">
        <w:t>or</w:t>
      </w:r>
      <w:r w:rsidR="00E43BF6">
        <w:t xml:space="preserve"> Scholarly or Educational Activit</w:t>
      </w:r>
      <w:r w:rsidR="002259D5">
        <w:t>y</w:t>
      </w:r>
      <w:r w:rsidR="00606217">
        <w:t>.</w:t>
      </w:r>
      <w:r w:rsidR="00093AAE">
        <w:t xml:space="preserve"> The COI Committee will only </w:t>
      </w:r>
      <w:r w:rsidR="00E50F51">
        <w:t>evaluate R</w:t>
      </w:r>
      <w:r w:rsidR="00564672">
        <w:t xml:space="preserve">esearch </w:t>
      </w:r>
      <w:r w:rsidR="00D4450A">
        <w:t>or</w:t>
      </w:r>
      <w:r w:rsidR="00E43BF6">
        <w:t xml:space="preserve"> Scholarly or Educational Activit</w:t>
      </w:r>
      <w:r w:rsidR="00D4450A">
        <w:t>y</w:t>
      </w:r>
      <w:r w:rsidR="00E43BF6">
        <w:t xml:space="preserve"> </w:t>
      </w:r>
      <w:r w:rsidR="00564672">
        <w:t xml:space="preserve">for conflicts of interest if </w:t>
      </w:r>
      <w:r w:rsidR="00093AAE">
        <w:t>the</w:t>
      </w:r>
      <w:r w:rsidR="00531236">
        <w:t xml:space="preserve"> COI Committee determines the</w:t>
      </w:r>
      <w:r w:rsidR="00093AAE">
        <w:t xml:space="preserve"> individual has a Significant Financial Interest</w:t>
      </w:r>
      <w:r w:rsidR="00564672">
        <w:t xml:space="preserve"> related</w:t>
      </w:r>
      <w:r w:rsidR="00E50F51">
        <w:t xml:space="preserve"> to the R</w:t>
      </w:r>
      <w:r w:rsidR="00564672">
        <w:t>esearch</w:t>
      </w:r>
      <w:r w:rsidR="00E43BF6">
        <w:t xml:space="preserve"> </w:t>
      </w:r>
      <w:r w:rsidR="00D4450A">
        <w:t>or</w:t>
      </w:r>
      <w:r w:rsidR="00E43BF6">
        <w:t xml:space="preserve"> Scholarly or Educational Activit</w:t>
      </w:r>
      <w:r w:rsidR="00D4450A">
        <w:t>y</w:t>
      </w:r>
      <w:r w:rsidR="00093AAE">
        <w:t>.</w:t>
      </w:r>
      <w:r w:rsidR="004B56FD">
        <w:t xml:space="preserve"> This </w:t>
      </w:r>
      <w:r w:rsidR="005A0B5F">
        <w:t xml:space="preserve">nuance </w:t>
      </w:r>
      <w:r w:rsidR="00A17C62">
        <w:t xml:space="preserve">will be </w:t>
      </w:r>
      <w:r w:rsidR="005A0B5F">
        <w:t xml:space="preserve">captured in </w:t>
      </w:r>
      <w:r w:rsidR="004B56FD">
        <w:t xml:space="preserve">the proposed </w:t>
      </w:r>
      <w:r w:rsidR="00A17C62">
        <w:t xml:space="preserve">new </w:t>
      </w:r>
      <w:r w:rsidR="003528F4">
        <w:t xml:space="preserve">Rules 1-006C: </w:t>
      </w:r>
      <w:r w:rsidR="00A65183">
        <w:t xml:space="preserve">Individual Financial </w:t>
      </w:r>
      <w:r w:rsidR="003528F4">
        <w:t>C</w:t>
      </w:r>
      <w:r w:rsidR="00A65183">
        <w:t>onflicts of Interest</w:t>
      </w:r>
      <w:r w:rsidR="003528F4">
        <w:t xml:space="preserve"> in Research and 1-006D: </w:t>
      </w:r>
      <w:r w:rsidR="00A65183">
        <w:t>Individual Financial Conflicts of Interest</w:t>
      </w:r>
      <w:r w:rsidR="003528F4">
        <w:t xml:space="preserve"> in Scholarly and Educational Activit</w:t>
      </w:r>
      <w:r w:rsidR="00037E27">
        <w:t>y</w:t>
      </w:r>
      <w:r w:rsidR="004B56FD">
        <w:t>.</w:t>
      </w:r>
    </w:p>
    <w:p w14:paraId="3AEB045B" w14:textId="77777777" w:rsidR="00DC0089" w:rsidRDefault="00DC0089" w:rsidP="008A3027">
      <w:pPr>
        <w:pStyle w:val="ListParagraph"/>
        <w:ind w:left="1800"/>
      </w:pPr>
    </w:p>
    <w:p w14:paraId="22F8EC24" w14:textId="66B1999F" w:rsidR="003528F4" w:rsidRDefault="00037E27">
      <w:pPr>
        <w:pStyle w:val="ListParagraph"/>
        <w:numPr>
          <w:ilvl w:val="1"/>
          <w:numId w:val="2"/>
        </w:numPr>
        <w:ind w:left="1800"/>
      </w:pPr>
      <w:r>
        <w:t>In terms of a conflict of interest related to a Transaction</w:t>
      </w:r>
      <w:r w:rsidR="003528F4">
        <w:t xml:space="preserve">, the COI Committee will not consider a Financial Relationship </w:t>
      </w:r>
      <w:r>
        <w:t>relevant</w:t>
      </w:r>
      <w:r w:rsidR="003528F4">
        <w:t xml:space="preserve">, unless that Financial Relationship also meets the definition of Substantial Interest. In other words, the new requirement to disclose Financial Relationships, as opposed to Substantial Interests, will not change the way the COI Committee reviews conflicts of interest related to Transactions. The COI Committee will only evaluate Transactions for conflicts of interest if the COI Committee determines the individual has a Substantial Interest related to the Transaction. This nuance </w:t>
      </w:r>
      <w:r w:rsidR="00A17C62">
        <w:t xml:space="preserve">will be </w:t>
      </w:r>
      <w:r w:rsidR="003528F4">
        <w:t xml:space="preserve">captured in the proposed </w:t>
      </w:r>
      <w:r w:rsidR="00A17C62">
        <w:t xml:space="preserve">new </w:t>
      </w:r>
      <w:r w:rsidR="003528F4">
        <w:t xml:space="preserve">Rule 1-006E: </w:t>
      </w:r>
      <w:r w:rsidR="00A65183">
        <w:t>Individual Financial Conflicts of Interest</w:t>
      </w:r>
      <w:r w:rsidR="003528F4">
        <w:t xml:space="preserve"> in Transactions.</w:t>
      </w:r>
    </w:p>
    <w:p w14:paraId="76ADC067" w14:textId="77777777" w:rsidR="00DC0089" w:rsidRDefault="00DC0089" w:rsidP="008A3027">
      <w:pPr>
        <w:pStyle w:val="ListParagraph"/>
      </w:pPr>
    </w:p>
    <w:p w14:paraId="578AE53B" w14:textId="4507D6A1" w:rsidR="00E67690" w:rsidRDefault="00E67690">
      <w:pPr>
        <w:pStyle w:val="ListParagraph"/>
        <w:numPr>
          <w:ilvl w:val="0"/>
          <w:numId w:val="2"/>
        </w:numPr>
        <w:ind w:left="1440"/>
      </w:pPr>
      <w:r>
        <w:t>Definition of “Gift”</w:t>
      </w:r>
    </w:p>
    <w:p w14:paraId="58C1A90A" w14:textId="77777777" w:rsidR="00DC0089" w:rsidRDefault="00DC0089" w:rsidP="008A3027">
      <w:pPr>
        <w:pStyle w:val="ListParagraph"/>
        <w:ind w:left="1440"/>
      </w:pPr>
    </w:p>
    <w:p w14:paraId="3116ECE5" w14:textId="7017655A" w:rsidR="00E67690" w:rsidRDefault="00E67690">
      <w:pPr>
        <w:pStyle w:val="ListParagraph"/>
        <w:numPr>
          <w:ilvl w:val="1"/>
          <w:numId w:val="2"/>
        </w:numPr>
        <w:ind w:left="1800"/>
      </w:pPr>
      <w:r>
        <w:t xml:space="preserve">The revised definition of “Gift” </w:t>
      </w:r>
      <w:r w:rsidR="00A17C62">
        <w:t xml:space="preserve">will </w:t>
      </w:r>
      <w:r>
        <w:t xml:space="preserve">include </w:t>
      </w:r>
      <w:r w:rsidR="00A17C62">
        <w:t>content that was previously placed in a footnote (and therefore perhaps easily overlooked), and the footnote [Fn1] will be deleted.</w:t>
      </w:r>
    </w:p>
    <w:p w14:paraId="4C983158" w14:textId="77777777" w:rsidR="00DC0089" w:rsidRDefault="00DC0089" w:rsidP="008A3027">
      <w:pPr>
        <w:pStyle w:val="ListParagraph"/>
        <w:ind w:left="1800"/>
      </w:pPr>
    </w:p>
    <w:p w14:paraId="1B7B2FEF" w14:textId="384EFA46" w:rsidR="00843296" w:rsidRDefault="00843296">
      <w:pPr>
        <w:pStyle w:val="ListParagraph"/>
        <w:numPr>
          <w:ilvl w:val="0"/>
          <w:numId w:val="2"/>
        </w:numPr>
        <w:ind w:left="1440"/>
      </w:pPr>
      <w:r>
        <w:t>Definition of “Intellectual Property”</w:t>
      </w:r>
    </w:p>
    <w:p w14:paraId="48E41005" w14:textId="77777777" w:rsidR="00DC0089" w:rsidRDefault="00DC0089" w:rsidP="008A3027">
      <w:pPr>
        <w:pStyle w:val="ListParagraph"/>
        <w:ind w:left="1440"/>
      </w:pPr>
    </w:p>
    <w:p w14:paraId="4491C098" w14:textId="29B3E142" w:rsidR="00843296" w:rsidRDefault="00A83E5B">
      <w:pPr>
        <w:pStyle w:val="ListParagraph"/>
        <w:numPr>
          <w:ilvl w:val="1"/>
          <w:numId w:val="2"/>
        </w:numPr>
        <w:ind w:left="1800"/>
      </w:pPr>
      <w:r>
        <w:t xml:space="preserve">The revised definition </w:t>
      </w:r>
      <w:r w:rsidR="00024A29">
        <w:t xml:space="preserve">of “Intellectual Property” </w:t>
      </w:r>
      <w:r w:rsidR="00A17C62">
        <w:t xml:space="preserve">will </w:t>
      </w:r>
      <w:r>
        <w:t xml:space="preserve">provide </w:t>
      </w:r>
      <w:r w:rsidR="00B54BE2">
        <w:t>additional information</w:t>
      </w:r>
      <w:r>
        <w:t xml:space="preserve"> on what Intellectual Property </w:t>
      </w:r>
      <w:r w:rsidR="007F1A4A">
        <w:t>means</w:t>
      </w:r>
      <w:r w:rsidR="00843296">
        <w:t>.</w:t>
      </w:r>
      <w:r w:rsidR="000D48E4">
        <w:t xml:space="preserve"> More specifically, the revised definition </w:t>
      </w:r>
      <w:r w:rsidR="00A17C62">
        <w:t xml:space="preserve">will </w:t>
      </w:r>
      <w:r w:rsidR="000D48E4">
        <w:t>include tangible property, physical materials, artistic works, data, algorithms, software, including its component coding, designs, databases, and media.</w:t>
      </w:r>
    </w:p>
    <w:p w14:paraId="74D55AF8" w14:textId="77777777" w:rsidR="00DC0089" w:rsidRDefault="00DC0089" w:rsidP="008A3027">
      <w:pPr>
        <w:pStyle w:val="ListParagraph"/>
        <w:ind w:left="1800"/>
      </w:pPr>
    </w:p>
    <w:p w14:paraId="4EF34CE8" w14:textId="7A6767E3" w:rsidR="00E67690" w:rsidRDefault="00E67690">
      <w:pPr>
        <w:pStyle w:val="ListParagraph"/>
        <w:numPr>
          <w:ilvl w:val="0"/>
          <w:numId w:val="2"/>
        </w:numPr>
        <w:ind w:left="1440"/>
      </w:pPr>
      <w:r>
        <w:t>Definition of “Investigator”</w:t>
      </w:r>
    </w:p>
    <w:p w14:paraId="6C0955E4" w14:textId="77777777" w:rsidR="00DC0089" w:rsidRDefault="00DC0089" w:rsidP="008A3027">
      <w:pPr>
        <w:pStyle w:val="ListParagraph"/>
        <w:ind w:left="1440"/>
      </w:pPr>
    </w:p>
    <w:p w14:paraId="5C94AE65" w14:textId="31AE0930" w:rsidR="00E67690" w:rsidRDefault="00E67690">
      <w:pPr>
        <w:pStyle w:val="ListParagraph"/>
        <w:numPr>
          <w:ilvl w:val="1"/>
          <w:numId w:val="2"/>
        </w:numPr>
        <w:ind w:left="1800"/>
      </w:pPr>
      <w:r>
        <w:t xml:space="preserve">The revised definition of “Investigator” </w:t>
      </w:r>
      <w:r w:rsidR="00A17C62">
        <w:t xml:space="preserve">will </w:t>
      </w:r>
      <w:r>
        <w:t>include</w:t>
      </w:r>
      <w:r w:rsidR="00FC439C">
        <w:t xml:space="preserve"> </w:t>
      </w:r>
      <w:r>
        <w:t>“visiting scientist” as an example.</w:t>
      </w:r>
    </w:p>
    <w:p w14:paraId="7CA35272" w14:textId="77777777" w:rsidR="00DC0089" w:rsidRDefault="00DC0089" w:rsidP="008A3027">
      <w:pPr>
        <w:pStyle w:val="ListParagraph"/>
        <w:ind w:left="1800"/>
      </w:pPr>
    </w:p>
    <w:p w14:paraId="35E34A42" w14:textId="4EE8A211" w:rsidR="00BE102B" w:rsidRDefault="00BE102B">
      <w:pPr>
        <w:pStyle w:val="ListParagraph"/>
        <w:numPr>
          <w:ilvl w:val="0"/>
          <w:numId w:val="2"/>
        </w:numPr>
        <w:ind w:left="1440"/>
      </w:pPr>
      <w:r>
        <w:t>Definition of “Scholarly or Educational Activity”</w:t>
      </w:r>
    </w:p>
    <w:p w14:paraId="4D9E3D8B" w14:textId="77777777" w:rsidR="00DC0089" w:rsidRDefault="00DC0089" w:rsidP="008A3027">
      <w:pPr>
        <w:pStyle w:val="ListParagraph"/>
        <w:ind w:left="1440"/>
      </w:pPr>
    </w:p>
    <w:p w14:paraId="4E9499F6" w14:textId="2A4BB03F" w:rsidR="00BE102B" w:rsidRDefault="00BE102B">
      <w:pPr>
        <w:pStyle w:val="ListParagraph"/>
        <w:numPr>
          <w:ilvl w:val="1"/>
          <w:numId w:val="2"/>
        </w:numPr>
        <w:ind w:left="1800"/>
      </w:pPr>
      <w:r>
        <w:t xml:space="preserve">The current </w:t>
      </w:r>
      <w:r w:rsidR="000F772C">
        <w:t>P</w:t>
      </w:r>
      <w:r>
        <w:t xml:space="preserve">olicy does not define “Scholarly Activity.” The revised </w:t>
      </w:r>
      <w:r w:rsidR="000F772C">
        <w:t>P</w:t>
      </w:r>
      <w:r>
        <w:t xml:space="preserve">olicy </w:t>
      </w:r>
      <w:r w:rsidR="000F772C">
        <w:t xml:space="preserve">will </w:t>
      </w:r>
      <w:r>
        <w:t>replace references to “Scholarly Activity” with “Scholarly or Educational Activity</w:t>
      </w:r>
      <w:r w:rsidR="00DF3FFE">
        <w:t>;</w:t>
      </w:r>
      <w:r>
        <w:t xml:space="preserve">” it </w:t>
      </w:r>
      <w:r w:rsidR="000F772C">
        <w:t xml:space="preserve">will </w:t>
      </w:r>
      <w:r>
        <w:t xml:space="preserve">also add a definition to clarify the type of </w:t>
      </w:r>
      <w:r w:rsidR="00DF3FFE">
        <w:t xml:space="preserve">scholarly or </w:t>
      </w:r>
      <w:r>
        <w:t>educational activities that individuals might engage in and that, if reasonably related to an individual’s “Financial Relationships,” must be disclosed.</w:t>
      </w:r>
    </w:p>
    <w:p w14:paraId="34B5205A" w14:textId="77777777" w:rsidR="00DC0089" w:rsidRDefault="00DC0089" w:rsidP="008A3027">
      <w:pPr>
        <w:pStyle w:val="ListParagraph"/>
        <w:ind w:left="1800"/>
      </w:pPr>
    </w:p>
    <w:p w14:paraId="05433756" w14:textId="36273381" w:rsidR="003B4B06" w:rsidRDefault="00950535">
      <w:pPr>
        <w:pStyle w:val="ListParagraph"/>
        <w:numPr>
          <w:ilvl w:val="0"/>
          <w:numId w:val="2"/>
        </w:numPr>
        <w:ind w:left="1440"/>
      </w:pPr>
      <w:r>
        <w:t>Definition of “Significant Financial Interest”</w:t>
      </w:r>
    </w:p>
    <w:p w14:paraId="18EFAF56" w14:textId="77777777" w:rsidR="00DC0089" w:rsidRDefault="00DC0089" w:rsidP="008A3027">
      <w:pPr>
        <w:pStyle w:val="ListParagraph"/>
        <w:ind w:left="1440"/>
      </w:pPr>
    </w:p>
    <w:p w14:paraId="6BC52735" w14:textId="233B17C9" w:rsidR="003B4B06" w:rsidRDefault="00FC28DF">
      <w:pPr>
        <w:pStyle w:val="ListParagraph"/>
        <w:numPr>
          <w:ilvl w:val="1"/>
          <w:numId w:val="2"/>
        </w:numPr>
        <w:ind w:left="1800"/>
      </w:pPr>
      <w:r>
        <w:t xml:space="preserve">As noted above, to </w:t>
      </w:r>
      <w:r w:rsidR="004A1CE3">
        <w:t>ensure</w:t>
      </w:r>
      <w:r>
        <w:t xml:space="preserve"> the </w:t>
      </w:r>
      <w:r w:rsidR="000F772C">
        <w:t>P</w:t>
      </w:r>
      <w:r>
        <w:t xml:space="preserve">olicy language </w:t>
      </w:r>
      <w:r w:rsidR="004A1CE3">
        <w:t>is consistent</w:t>
      </w:r>
      <w:r>
        <w:t xml:space="preserve"> with the Ethics Act</w:t>
      </w:r>
      <w:r w:rsidR="000F642C">
        <w:t xml:space="preserve"> and guidance related to foreign influence</w:t>
      </w:r>
      <w:r>
        <w:t xml:space="preserve">, </w:t>
      </w:r>
      <w:r w:rsidR="000F772C">
        <w:t xml:space="preserve">the </w:t>
      </w:r>
      <w:r w:rsidR="00A877CB">
        <w:t xml:space="preserve">revised </w:t>
      </w:r>
      <w:r w:rsidR="000F772C">
        <w:t>P</w:t>
      </w:r>
      <w:r w:rsidR="00A877CB">
        <w:t xml:space="preserve">olicy </w:t>
      </w:r>
      <w:r w:rsidR="000F772C">
        <w:t xml:space="preserve">will </w:t>
      </w:r>
      <w:r w:rsidR="00A877CB">
        <w:t>require individuals to disclose their Financial Relationships instead of their Significant Financial Interests. Whether an interest or relationship is a Significant Financial Interest is only relevant when the COI Committee e</w:t>
      </w:r>
      <w:r w:rsidR="00E50F51">
        <w:t>valuates R</w:t>
      </w:r>
      <w:r w:rsidR="00A877CB">
        <w:t xml:space="preserve">esearch for conflicts of interest. In those cases, the COI Committee will determine if a Financial Relationship is </w:t>
      </w:r>
      <w:r w:rsidR="00E35289">
        <w:t xml:space="preserve">a Significant Financial Interest, as defined by the NIH conflict of interest policy and further clarified by </w:t>
      </w:r>
      <w:r w:rsidR="000F772C">
        <w:t xml:space="preserve">University </w:t>
      </w:r>
      <w:r w:rsidR="00E35289">
        <w:t xml:space="preserve">Procedure 1-006. </w:t>
      </w:r>
      <w:r w:rsidR="00F10147">
        <w:t>T</w:t>
      </w:r>
      <w:r w:rsidR="003B4B06">
        <w:t xml:space="preserve">o avoid </w:t>
      </w:r>
      <w:r w:rsidR="00997F3C">
        <w:t>confusion about what individuals must disclose</w:t>
      </w:r>
      <w:r w:rsidR="003B4B06">
        <w:t xml:space="preserve">, </w:t>
      </w:r>
      <w:r w:rsidR="000F772C">
        <w:t>the proposal includes removing the existing</w:t>
      </w:r>
      <w:r w:rsidR="003B4B06">
        <w:t xml:space="preserve"> definition of Significant Financial Interest </w:t>
      </w:r>
      <w:r w:rsidR="000F772C">
        <w:t xml:space="preserve">from </w:t>
      </w:r>
      <w:r w:rsidR="003B4B06">
        <w:t xml:space="preserve">Policy 1-006 and </w:t>
      </w:r>
      <w:r w:rsidR="000F772C">
        <w:t xml:space="preserve">moving </w:t>
      </w:r>
      <w:r w:rsidR="003B4B06">
        <w:t xml:space="preserve">it to </w:t>
      </w:r>
      <w:r w:rsidR="000F772C">
        <w:t xml:space="preserve">new </w:t>
      </w:r>
      <w:r w:rsidR="003528F4">
        <w:t xml:space="preserve">Rules </w:t>
      </w:r>
      <w:r w:rsidR="003B4B06">
        <w:t>1-006</w:t>
      </w:r>
      <w:r w:rsidR="003528F4">
        <w:t>C and 1-006D</w:t>
      </w:r>
      <w:r w:rsidR="000F772C">
        <w:t xml:space="preserve"> where it will be better understood in context</w:t>
      </w:r>
      <w:r w:rsidR="003B4B06">
        <w:t>.</w:t>
      </w:r>
    </w:p>
    <w:p w14:paraId="2D0C372A" w14:textId="77777777" w:rsidR="00DC0089" w:rsidRDefault="00DC0089" w:rsidP="008A3027">
      <w:pPr>
        <w:pStyle w:val="ListParagraph"/>
        <w:ind w:left="1800"/>
      </w:pPr>
    </w:p>
    <w:p w14:paraId="25FFD871" w14:textId="1B2EA4A6" w:rsidR="00950535" w:rsidRDefault="00604CB4">
      <w:pPr>
        <w:pStyle w:val="ListParagraph"/>
        <w:numPr>
          <w:ilvl w:val="0"/>
          <w:numId w:val="9"/>
        </w:numPr>
        <w:ind w:left="1440"/>
      </w:pPr>
      <w:r>
        <w:t>Definition of “Transaction”</w:t>
      </w:r>
    </w:p>
    <w:p w14:paraId="676F43E0" w14:textId="77777777" w:rsidR="00DC0089" w:rsidRDefault="00DC0089" w:rsidP="008A3027">
      <w:pPr>
        <w:pStyle w:val="ListParagraph"/>
        <w:ind w:left="1440"/>
      </w:pPr>
    </w:p>
    <w:p w14:paraId="239BAE2B" w14:textId="10098CD5" w:rsidR="00604CB4" w:rsidRDefault="00C852E4">
      <w:pPr>
        <w:pStyle w:val="ListParagraph"/>
        <w:numPr>
          <w:ilvl w:val="1"/>
          <w:numId w:val="2"/>
        </w:numPr>
        <w:ind w:left="1800"/>
      </w:pPr>
      <w:r>
        <w:t>The re</w:t>
      </w:r>
      <w:r w:rsidR="00CA6135">
        <w:t xml:space="preserve">vised definition of </w:t>
      </w:r>
      <w:r w:rsidR="00343842">
        <w:t>“</w:t>
      </w:r>
      <w:r w:rsidR="00CA6135">
        <w:t>Transaction</w:t>
      </w:r>
      <w:r w:rsidR="00343842">
        <w:t>”</w:t>
      </w:r>
      <w:r>
        <w:t xml:space="preserve"> </w:t>
      </w:r>
      <w:r w:rsidR="00FB6638">
        <w:t xml:space="preserve">will </w:t>
      </w:r>
      <w:r w:rsidR="00CA6135">
        <w:t>simply add</w:t>
      </w:r>
      <w:r>
        <w:t xml:space="preserve"> </w:t>
      </w:r>
      <w:r w:rsidR="0019001D">
        <w:t xml:space="preserve">a reference to </w:t>
      </w:r>
      <w:r w:rsidR="00FB6638">
        <w:t>the University of Utah Research Foundation (</w:t>
      </w:r>
      <w:r w:rsidR="0019001D">
        <w:t>UURF</w:t>
      </w:r>
      <w:r w:rsidR="00FB6638">
        <w:t>)</w:t>
      </w:r>
      <w:r w:rsidR="0019001D">
        <w:t xml:space="preserve"> and provide </w:t>
      </w:r>
      <w:r>
        <w:t xml:space="preserve">various </w:t>
      </w:r>
      <w:r w:rsidR="00604CB4">
        <w:t>examples</w:t>
      </w:r>
      <w:r w:rsidR="0019001D">
        <w:t xml:space="preserve"> of Transactions</w:t>
      </w:r>
      <w:r w:rsidR="00604CB4">
        <w:t xml:space="preserve"> </w:t>
      </w:r>
      <w:r>
        <w:t>for clarity.</w:t>
      </w:r>
      <w:r w:rsidR="00CA6135">
        <w:t xml:space="preserve"> Specifically, Transaction </w:t>
      </w:r>
      <w:r w:rsidR="00FB6638">
        <w:t xml:space="preserve">will be </w:t>
      </w:r>
      <w:r w:rsidR="00CA6135">
        <w:t xml:space="preserve">defined to include purchases (including the purchase of supplies, equipment, or services), subcontracts, sub-awards, material transfer agreements, term sheets (whether binding or non-binding), option agreements, licensing agreements, agreements for sponsored research, grants, lease agreements, etc. </w:t>
      </w:r>
    </w:p>
    <w:p w14:paraId="43A9D1FA" w14:textId="3D26B3C8" w:rsidR="00604CB4" w:rsidRDefault="00604CB4"/>
    <w:p w14:paraId="2F636667" w14:textId="77777777" w:rsidR="007B74CD" w:rsidRDefault="00675EC8">
      <w:pPr>
        <w:ind w:left="1080"/>
        <w:rPr>
          <w:u w:val="single"/>
        </w:rPr>
      </w:pPr>
      <w:r w:rsidRPr="00621284">
        <w:rPr>
          <w:u w:val="single"/>
        </w:rPr>
        <w:t>Section III</w:t>
      </w:r>
      <w:r w:rsidR="00621284" w:rsidRPr="00621284">
        <w:rPr>
          <w:u w:val="single"/>
        </w:rPr>
        <w:t xml:space="preserve"> – Policy, </w:t>
      </w:r>
      <w:r w:rsidR="00343842">
        <w:rPr>
          <w:u w:val="single"/>
        </w:rPr>
        <w:t>Subsection</w:t>
      </w:r>
      <w:r w:rsidR="00621284" w:rsidRPr="00621284">
        <w:rPr>
          <w:u w:val="single"/>
        </w:rPr>
        <w:t xml:space="preserve"> A</w:t>
      </w:r>
    </w:p>
    <w:p w14:paraId="10CBD3BB" w14:textId="2B97B0B9" w:rsidR="00675EC8" w:rsidRPr="00621284" w:rsidRDefault="00675EC8">
      <w:pPr>
        <w:ind w:left="1080"/>
        <w:rPr>
          <w:u w:val="single"/>
        </w:rPr>
      </w:pPr>
    </w:p>
    <w:p w14:paraId="5F3ABB1F" w14:textId="6791CD54" w:rsidR="00621284" w:rsidRDefault="001229A8">
      <w:pPr>
        <w:pStyle w:val="ListParagraph"/>
        <w:numPr>
          <w:ilvl w:val="0"/>
          <w:numId w:val="3"/>
        </w:numPr>
        <w:ind w:left="1530"/>
      </w:pPr>
      <w:r>
        <w:t xml:space="preserve">The proposal is to </w:t>
      </w:r>
      <w:r w:rsidR="00F577B3">
        <w:t>d</w:t>
      </w:r>
      <w:r w:rsidR="00621284">
        <w:t>elete “General Requirements</w:t>
      </w:r>
      <w:r w:rsidR="00EB3102">
        <w:t xml:space="preserve"> (disclosure, prohibited activities)</w:t>
      </w:r>
      <w:r w:rsidR="00621284">
        <w:t>”</w:t>
      </w:r>
      <w:r w:rsidR="00541213">
        <w:t xml:space="preserve"> </w:t>
      </w:r>
      <w:r w:rsidR="00621284">
        <w:t>and replace it with “</w:t>
      </w:r>
      <w:r w:rsidR="007021E0">
        <w:t>Disclosure and Training Requirements</w:t>
      </w:r>
      <w:r w:rsidR="00541213">
        <w:t>.</w:t>
      </w:r>
      <w:r w:rsidR="00621284">
        <w:t xml:space="preserve">” </w:t>
      </w:r>
      <w:r w:rsidR="007021E0">
        <w:t xml:space="preserve">Some </w:t>
      </w:r>
      <w:r w:rsidR="00EB3102">
        <w:t>of</w:t>
      </w:r>
      <w:r w:rsidR="005A0276">
        <w:t xml:space="preserve"> this language </w:t>
      </w:r>
      <w:r>
        <w:t>comes from</w:t>
      </w:r>
      <w:r w:rsidR="005A0276">
        <w:t xml:space="preserve"> </w:t>
      </w:r>
      <w:r w:rsidR="00541213">
        <w:t>Section</w:t>
      </w:r>
      <w:r w:rsidR="00574A58">
        <w:t>s</w:t>
      </w:r>
      <w:r w:rsidR="00541213">
        <w:t xml:space="preserve"> </w:t>
      </w:r>
      <w:r w:rsidR="00621284">
        <w:t>III</w:t>
      </w:r>
      <w:r w:rsidR="00541213">
        <w:t>.</w:t>
      </w:r>
      <w:r w:rsidR="00574A58">
        <w:t xml:space="preserve">B. </w:t>
      </w:r>
      <w:r w:rsidR="00762E1F">
        <w:t xml:space="preserve">(“Activities Requiring Disclosure”) </w:t>
      </w:r>
      <w:r w:rsidR="00574A58">
        <w:t>and I</w:t>
      </w:r>
      <w:r w:rsidR="005177F2">
        <w:t>I</w:t>
      </w:r>
      <w:r w:rsidR="00574A58">
        <w:t xml:space="preserve">I.D. </w:t>
      </w:r>
      <w:r w:rsidR="00762E1F">
        <w:t xml:space="preserve">(“Investigator and Employee Disclosure Responsibilities”) </w:t>
      </w:r>
      <w:r w:rsidR="005A0276">
        <w:t xml:space="preserve">of the current </w:t>
      </w:r>
      <w:r>
        <w:t>P</w:t>
      </w:r>
      <w:r w:rsidR="005A0276">
        <w:t xml:space="preserve">olicy. </w:t>
      </w:r>
      <w:r>
        <w:t>It is proposed</w:t>
      </w:r>
      <w:r w:rsidR="005A0276">
        <w:t xml:space="preserve"> to </w:t>
      </w:r>
      <w:r w:rsidR="005177F2">
        <w:t>combine th</w:t>
      </w:r>
      <w:r w:rsidR="00762E1F">
        <w:t>ose sections</w:t>
      </w:r>
      <w:r w:rsidR="005177F2">
        <w:t xml:space="preserve"> in</w:t>
      </w:r>
      <w:r w:rsidR="00621284">
        <w:t xml:space="preserve"> </w:t>
      </w:r>
      <w:r w:rsidR="00541213">
        <w:t xml:space="preserve">Section </w:t>
      </w:r>
      <w:r w:rsidR="00621284">
        <w:t xml:space="preserve">III.A </w:t>
      </w:r>
      <w:r w:rsidR="005A0276">
        <w:t xml:space="preserve">of the revised </w:t>
      </w:r>
      <w:r>
        <w:t>P</w:t>
      </w:r>
      <w:r w:rsidR="005A0276">
        <w:t>olicy</w:t>
      </w:r>
      <w:r w:rsidR="00AA5EF9">
        <w:t>,</w:t>
      </w:r>
      <w:r w:rsidR="005A0276">
        <w:t xml:space="preserve"> </w:t>
      </w:r>
      <w:r w:rsidR="00621284">
        <w:t xml:space="preserve">so </w:t>
      </w:r>
      <w:r w:rsidR="001E18E3">
        <w:t xml:space="preserve">that </w:t>
      </w:r>
      <w:r w:rsidR="00541213">
        <w:t>training</w:t>
      </w:r>
      <w:r w:rsidR="007021E0">
        <w:t xml:space="preserve"> and</w:t>
      </w:r>
      <w:r w:rsidR="00541213">
        <w:t xml:space="preserve"> disclosure </w:t>
      </w:r>
      <w:r w:rsidR="00621284">
        <w:t xml:space="preserve">responsibilities are listed up front. </w:t>
      </w:r>
    </w:p>
    <w:p w14:paraId="4B76DCA7" w14:textId="5EB53DEC" w:rsidR="00621284" w:rsidRDefault="00621284"/>
    <w:p w14:paraId="6D5F2D2A" w14:textId="77777777" w:rsidR="001539FC" w:rsidRDefault="00621284">
      <w:pPr>
        <w:ind w:left="1080"/>
        <w:rPr>
          <w:u w:val="single"/>
        </w:rPr>
      </w:pPr>
      <w:r w:rsidRPr="00621284">
        <w:rPr>
          <w:u w:val="single"/>
        </w:rPr>
        <w:t xml:space="preserve">Section III – Policy, </w:t>
      </w:r>
      <w:r w:rsidR="00C2045C">
        <w:rPr>
          <w:u w:val="single"/>
        </w:rPr>
        <w:t>Subsection</w:t>
      </w:r>
      <w:r w:rsidR="00C2045C" w:rsidRPr="00621284">
        <w:rPr>
          <w:u w:val="single"/>
        </w:rPr>
        <w:t xml:space="preserve"> </w:t>
      </w:r>
      <w:r w:rsidRPr="00621284">
        <w:rPr>
          <w:u w:val="single"/>
        </w:rPr>
        <w:t>A</w:t>
      </w:r>
      <w:r w:rsidR="009A78DB">
        <w:rPr>
          <w:u w:val="single"/>
        </w:rPr>
        <w:t>.</w:t>
      </w:r>
      <w:r w:rsidRPr="00621284">
        <w:rPr>
          <w:u w:val="single"/>
        </w:rPr>
        <w:t>1</w:t>
      </w:r>
    </w:p>
    <w:p w14:paraId="6A157F5E" w14:textId="58D40794" w:rsidR="00621284" w:rsidRDefault="00621284">
      <w:pPr>
        <w:ind w:left="1080"/>
        <w:rPr>
          <w:u w:val="single"/>
        </w:rPr>
      </w:pPr>
    </w:p>
    <w:p w14:paraId="6F463073" w14:textId="01A44B77" w:rsidR="00951FDA" w:rsidRDefault="001229A8">
      <w:pPr>
        <w:pStyle w:val="ListParagraph"/>
        <w:numPr>
          <w:ilvl w:val="0"/>
          <w:numId w:val="3"/>
        </w:numPr>
        <w:ind w:left="1440"/>
      </w:pPr>
      <w:r>
        <w:t>A</w:t>
      </w:r>
      <w:r w:rsidR="00951FDA">
        <w:t xml:space="preserve"> new subsection </w:t>
      </w:r>
      <w:r>
        <w:t xml:space="preserve">is added, </w:t>
      </w:r>
      <w:r w:rsidR="00951FDA">
        <w:t>titled “Disclosure Schedule,” which has the following requirements:</w:t>
      </w:r>
    </w:p>
    <w:p w14:paraId="16EFCDDA" w14:textId="77777777" w:rsidR="00DC0089" w:rsidRDefault="00DC0089" w:rsidP="008A3027">
      <w:pPr>
        <w:pStyle w:val="ListParagraph"/>
        <w:ind w:left="1440"/>
      </w:pPr>
    </w:p>
    <w:p w14:paraId="72BDA6E2" w14:textId="789F4603" w:rsidR="00951FDA" w:rsidRDefault="00951FDA">
      <w:pPr>
        <w:pStyle w:val="ListParagraph"/>
        <w:numPr>
          <w:ilvl w:val="1"/>
          <w:numId w:val="3"/>
        </w:numPr>
      </w:pPr>
      <w:r>
        <w:t xml:space="preserve">Each </w:t>
      </w:r>
      <w:r w:rsidR="00CE4DC2">
        <w:t xml:space="preserve">(1) </w:t>
      </w:r>
      <w:r>
        <w:t xml:space="preserve">faculty member (with the exception of </w:t>
      </w:r>
      <w:r w:rsidR="001229A8">
        <w:t xml:space="preserve">those in the categories of </w:t>
      </w:r>
      <w:r>
        <w:t xml:space="preserve">emeritus faculty, visiting faculty, </w:t>
      </w:r>
      <w:r w:rsidR="001229A8">
        <w:t xml:space="preserve">or </w:t>
      </w:r>
      <w:r>
        <w:t xml:space="preserve">adjunct faculty), </w:t>
      </w:r>
      <w:r w:rsidR="00CE4DC2">
        <w:t xml:space="preserve">(2) </w:t>
      </w:r>
      <w:r w:rsidR="00DC0089">
        <w:t>E</w:t>
      </w:r>
      <w:r>
        <w:t xml:space="preserve">mployee at a manager level and above, and </w:t>
      </w:r>
      <w:r w:rsidR="00CE4DC2">
        <w:t xml:space="preserve">(3) </w:t>
      </w:r>
      <w:r>
        <w:t xml:space="preserve">Employee with purchasing authority or delegated purchasing authority </w:t>
      </w:r>
      <w:r w:rsidR="005C19E7">
        <w:t>is required to</w:t>
      </w:r>
      <w:r>
        <w:t xml:space="preserve"> submit a </w:t>
      </w:r>
      <w:r w:rsidR="00255B87">
        <w:t>BRR Disclosure Form</w:t>
      </w:r>
      <w:r>
        <w:t xml:space="preserve"> upon hire and at the start of each academic year; and </w:t>
      </w:r>
    </w:p>
    <w:p w14:paraId="3482281A" w14:textId="77777777" w:rsidR="00DC0089" w:rsidRDefault="00DC0089" w:rsidP="008A3027">
      <w:pPr>
        <w:pStyle w:val="ListParagraph"/>
        <w:ind w:left="1800"/>
      </w:pPr>
    </w:p>
    <w:p w14:paraId="614CA354" w14:textId="114DC99E" w:rsidR="00951FDA" w:rsidRDefault="00951FDA">
      <w:pPr>
        <w:pStyle w:val="ListParagraph"/>
        <w:numPr>
          <w:ilvl w:val="1"/>
          <w:numId w:val="3"/>
        </w:numPr>
      </w:pPr>
      <w:r>
        <w:t xml:space="preserve">Each Employee </w:t>
      </w:r>
      <w:r w:rsidR="001229A8">
        <w:t xml:space="preserve">in a category </w:t>
      </w:r>
      <w:r>
        <w:t xml:space="preserve">not identified above </w:t>
      </w:r>
      <w:r w:rsidR="005C19E7">
        <w:t>is required to</w:t>
      </w:r>
      <w:r>
        <w:t xml:space="preserve"> submit </w:t>
      </w:r>
      <w:r w:rsidR="001229A8">
        <w:t xml:space="preserve">a </w:t>
      </w:r>
      <w:r w:rsidR="00255B87">
        <w:t>BRR Disclosure Form</w:t>
      </w:r>
      <w:r>
        <w:t xml:space="preserve"> prior to engaging in Research, Scholarly </w:t>
      </w:r>
      <w:r w:rsidR="00DC0089">
        <w:t xml:space="preserve">or </w:t>
      </w:r>
      <w:r>
        <w:t xml:space="preserve">Educational Activity, </w:t>
      </w:r>
      <w:r w:rsidR="00CE4DC2">
        <w:t>or</w:t>
      </w:r>
      <w:r>
        <w:t xml:space="preserve"> Transactions; and</w:t>
      </w:r>
    </w:p>
    <w:p w14:paraId="5BA1E657" w14:textId="77777777" w:rsidR="00DC0089" w:rsidRDefault="00DC0089" w:rsidP="008A3027">
      <w:pPr>
        <w:pStyle w:val="ListParagraph"/>
      </w:pPr>
    </w:p>
    <w:p w14:paraId="39E548E6" w14:textId="34C6DE3C" w:rsidR="00951FDA" w:rsidRDefault="00951FDA">
      <w:pPr>
        <w:pStyle w:val="ListParagraph"/>
        <w:numPr>
          <w:ilvl w:val="1"/>
          <w:numId w:val="3"/>
        </w:numPr>
      </w:pPr>
      <w:r>
        <w:t xml:space="preserve">Each Investigator and Employee </w:t>
      </w:r>
      <w:r w:rsidR="00DB50AC">
        <w:t>is required to</w:t>
      </w:r>
      <w:r>
        <w:t xml:space="preserve"> submit an updated </w:t>
      </w:r>
      <w:r w:rsidR="00255B87">
        <w:t>BRR Disclosure Form</w:t>
      </w:r>
      <w:r>
        <w:t xml:space="preserve"> within 30 days of any changes (</w:t>
      </w:r>
      <w:r w:rsidR="00DB50AC">
        <w:t xml:space="preserve">note that </w:t>
      </w:r>
      <w:r>
        <w:t>this is an existing requirement).</w:t>
      </w:r>
    </w:p>
    <w:p w14:paraId="0CDCF675" w14:textId="3793F3A7" w:rsidR="00621284" w:rsidRDefault="00621284">
      <w:pPr>
        <w:pStyle w:val="ListParagraph"/>
        <w:ind w:left="1440"/>
      </w:pPr>
    </w:p>
    <w:p w14:paraId="2E6F1D73" w14:textId="77777777" w:rsidR="00E52BD6" w:rsidRDefault="00621284">
      <w:pPr>
        <w:ind w:left="1080"/>
        <w:rPr>
          <w:u w:val="single"/>
        </w:rPr>
      </w:pPr>
      <w:r w:rsidRPr="00621284">
        <w:rPr>
          <w:u w:val="single"/>
        </w:rPr>
        <w:t xml:space="preserve">Section III – Policy, </w:t>
      </w:r>
      <w:r w:rsidR="00C2045C">
        <w:rPr>
          <w:u w:val="single"/>
        </w:rPr>
        <w:t>Subsection</w:t>
      </w:r>
      <w:r w:rsidR="00C2045C" w:rsidRPr="00621284">
        <w:rPr>
          <w:u w:val="single"/>
        </w:rPr>
        <w:t xml:space="preserve"> </w:t>
      </w:r>
      <w:r w:rsidRPr="00621284">
        <w:rPr>
          <w:u w:val="single"/>
        </w:rPr>
        <w:t>A</w:t>
      </w:r>
      <w:r w:rsidR="009A78DB">
        <w:rPr>
          <w:u w:val="single"/>
        </w:rPr>
        <w:t>.</w:t>
      </w:r>
      <w:r>
        <w:rPr>
          <w:u w:val="single"/>
        </w:rPr>
        <w:t>2</w:t>
      </w:r>
    </w:p>
    <w:p w14:paraId="40F7B61E" w14:textId="59338B8F" w:rsidR="00621284" w:rsidRDefault="00621284">
      <w:pPr>
        <w:ind w:left="1080"/>
        <w:rPr>
          <w:u w:val="single"/>
        </w:rPr>
      </w:pPr>
    </w:p>
    <w:p w14:paraId="4BAAA16D" w14:textId="165A9E23" w:rsidR="00DF0D28" w:rsidRDefault="001229A8">
      <w:pPr>
        <w:pStyle w:val="ListParagraph"/>
        <w:numPr>
          <w:ilvl w:val="0"/>
          <w:numId w:val="14"/>
        </w:numPr>
      </w:pPr>
      <w:r>
        <w:t>A</w:t>
      </w:r>
      <w:r w:rsidR="00DF0D28">
        <w:t xml:space="preserve"> new subsection</w:t>
      </w:r>
      <w:r>
        <w:t xml:space="preserve"> will be added, titled</w:t>
      </w:r>
      <w:r w:rsidR="00DF0D28">
        <w:t xml:space="preserve"> "</w:t>
      </w:r>
      <w:r w:rsidR="00255B87">
        <w:t>BRR Disclosure Form</w:t>
      </w:r>
      <w:r w:rsidR="00DF0D28">
        <w:t xml:space="preserve"> Contents (Relevant Information).</w:t>
      </w:r>
      <w:r w:rsidR="00713B0D">
        <w:t>"</w:t>
      </w:r>
    </w:p>
    <w:p w14:paraId="2D715352" w14:textId="77777777" w:rsidR="00DC0089" w:rsidRDefault="00DC0089" w:rsidP="008A3027">
      <w:pPr>
        <w:pStyle w:val="ListParagraph"/>
        <w:ind w:left="1440"/>
      </w:pPr>
    </w:p>
    <w:p w14:paraId="6BFFB74D" w14:textId="292D9115" w:rsidR="00DF0D28" w:rsidRDefault="001229A8">
      <w:pPr>
        <w:pStyle w:val="ListParagraph"/>
        <w:numPr>
          <w:ilvl w:val="0"/>
          <w:numId w:val="14"/>
        </w:numPr>
      </w:pPr>
      <w:r>
        <w:t>Will include</w:t>
      </w:r>
      <w:r w:rsidR="00DF0D28">
        <w:t xml:space="preserve"> a </w:t>
      </w:r>
      <w:r>
        <w:t xml:space="preserve">new </w:t>
      </w:r>
      <w:r w:rsidR="00DF0D28">
        <w:t xml:space="preserve">description of the relevant information to be disclosed in the </w:t>
      </w:r>
      <w:r w:rsidR="00255B87">
        <w:t>BRR Disclosure Form</w:t>
      </w:r>
      <w:r w:rsidR="00DF0D28">
        <w:t>. This includes guidance on disclosure of Financial Relationships and sponsored travel.</w:t>
      </w:r>
    </w:p>
    <w:p w14:paraId="2A317E01" w14:textId="77777777" w:rsidR="00DC0089" w:rsidRDefault="00DC0089" w:rsidP="008A3027">
      <w:pPr>
        <w:pStyle w:val="ListParagraph"/>
      </w:pPr>
    </w:p>
    <w:p w14:paraId="66F5366F" w14:textId="3BB81265" w:rsidR="00DF0D28" w:rsidRDefault="00DF0D28">
      <w:pPr>
        <w:pStyle w:val="ListParagraph"/>
        <w:numPr>
          <w:ilvl w:val="0"/>
          <w:numId w:val="14"/>
        </w:numPr>
      </w:pPr>
      <w:r>
        <w:t xml:space="preserve">As noted </w:t>
      </w:r>
      <w:r w:rsidR="001229A8">
        <w:t>above</w:t>
      </w:r>
      <w:r>
        <w:t xml:space="preserve">, the revised </w:t>
      </w:r>
      <w:r w:rsidR="001229A8">
        <w:t>P</w:t>
      </w:r>
      <w:r>
        <w:t xml:space="preserve">olicy </w:t>
      </w:r>
      <w:r w:rsidR="001229A8">
        <w:t xml:space="preserve">will </w:t>
      </w:r>
      <w:r>
        <w:t>refer to Financial Relationships</w:t>
      </w:r>
      <w:r w:rsidR="001229A8">
        <w:t>,</w:t>
      </w:r>
      <w:r>
        <w:t xml:space="preserve"> instead of Significant Financial Interests—again, to help ensure Employees make appropriate disclosures, as required by state law.</w:t>
      </w:r>
    </w:p>
    <w:p w14:paraId="3F37B937" w14:textId="4B60769B" w:rsidR="00621284" w:rsidRDefault="00621284"/>
    <w:p w14:paraId="778F064A" w14:textId="77777777" w:rsidR="002803AF" w:rsidRDefault="002D5F9D">
      <w:pPr>
        <w:ind w:left="1080"/>
        <w:rPr>
          <w:u w:val="single"/>
        </w:rPr>
      </w:pPr>
      <w:r w:rsidRPr="00621284">
        <w:rPr>
          <w:u w:val="single"/>
        </w:rPr>
        <w:t xml:space="preserve">Section III – Policy, </w:t>
      </w:r>
      <w:r w:rsidR="00C2045C">
        <w:rPr>
          <w:u w:val="single"/>
        </w:rPr>
        <w:t>Subsection</w:t>
      </w:r>
      <w:r w:rsidR="00C2045C" w:rsidRPr="00621284">
        <w:rPr>
          <w:u w:val="single"/>
        </w:rPr>
        <w:t xml:space="preserve"> </w:t>
      </w:r>
      <w:r w:rsidRPr="00621284">
        <w:rPr>
          <w:u w:val="single"/>
        </w:rPr>
        <w:t>A</w:t>
      </w:r>
      <w:r w:rsidR="00D73B0D">
        <w:rPr>
          <w:u w:val="single"/>
        </w:rPr>
        <w:t>.</w:t>
      </w:r>
      <w:r>
        <w:rPr>
          <w:u w:val="single"/>
        </w:rPr>
        <w:t>3</w:t>
      </w:r>
    </w:p>
    <w:p w14:paraId="4EB302DB" w14:textId="38567842" w:rsidR="00621284" w:rsidRDefault="00621284">
      <w:pPr>
        <w:ind w:left="1080"/>
        <w:rPr>
          <w:u w:val="single"/>
        </w:rPr>
      </w:pPr>
    </w:p>
    <w:p w14:paraId="3B473295" w14:textId="42D64E6C" w:rsidR="00DF0D28" w:rsidRDefault="002B3C17">
      <w:pPr>
        <w:pStyle w:val="ListParagraph"/>
        <w:numPr>
          <w:ilvl w:val="0"/>
          <w:numId w:val="4"/>
        </w:numPr>
      </w:pPr>
      <w:r>
        <w:t xml:space="preserve">Will add a </w:t>
      </w:r>
      <w:r w:rsidR="00DF0D28" w:rsidRPr="002945E6">
        <w:t xml:space="preserve">new </w:t>
      </w:r>
      <w:r w:rsidR="00DF0D28">
        <w:t>sub</w:t>
      </w:r>
      <w:r w:rsidR="00DF0D28" w:rsidRPr="002945E6">
        <w:t>section</w:t>
      </w:r>
      <w:r>
        <w:t>, titled</w:t>
      </w:r>
      <w:r w:rsidR="000700C8">
        <w:t xml:space="preserve"> </w:t>
      </w:r>
      <w:r w:rsidR="00DF0D28" w:rsidRPr="001539FC">
        <w:t>“Training</w:t>
      </w:r>
      <w:r w:rsidR="00DF0D28">
        <w:t>.</w:t>
      </w:r>
      <w:r w:rsidR="00DF0D28" w:rsidRPr="001539FC">
        <w:t>”</w:t>
      </w:r>
    </w:p>
    <w:p w14:paraId="328B4E11" w14:textId="77777777" w:rsidR="00DC0089" w:rsidRPr="002945E6" w:rsidRDefault="00DC0089" w:rsidP="008A3027">
      <w:pPr>
        <w:pStyle w:val="ListParagraph"/>
        <w:ind w:left="1440"/>
      </w:pPr>
    </w:p>
    <w:p w14:paraId="15486BDE" w14:textId="2098A6E0" w:rsidR="00C91A7B" w:rsidRDefault="002B3C17">
      <w:pPr>
        <w:pStyle w:val="ListParagraph"/>
        <w:numPr>
          <w:ilvl w:val="0"/>
          <w:numId w:val="4"/>
        </w:numPr>
      </w:pPr>
      <w:r>
        <w:t>Will update</w:t>
      </w:r>
      <w:r w:rsidR="00DF0D28">
        <w:t xml:space="preserve"> the training language to clarify when and where the training must be completed. Specifically,</w:t>
      </w:r>
      <w:r>
        <w:t xml:space="preserve"> an</w:t>
      </w:r>
      <w:r w:rsidR="00DF0D28">
        <w:t xml:space="preserve"> individual must complete a training through the University’s Business Relationship Reporting system (1) when the individual initially submits a </w:t>
      </w:r>
      <w:r w:rsidR="00255B87">
        <w:t>BRR Disclosure Form</w:t>
      </w:r>
      <w:r w:rsidR="00DF0D28">
        <w:t xml:space="preserve"> and (2) at least every four years thereafter. The four-year requirement comes from the NIH conflict of interest policy.</w:t>
      </w:r>
      <w:r w:rsidR="00894E43">
        <w:t xml:space="preserve"> </w:t>
      </w:r>
    </w:p>
    <w:p w14:paraId="4061413C" w14:textId="34B62B25" w:rsidR="00E87690" w:rsidRDefault="00E87690">
      <w:pPr>
        <w:pStyle w:val="ListParagraph"/>
        <w:ind w:left="1440"/>
      </w:pPr>
    </w:p>
    <w:p w14:paraId="165423FB" w14:textId="77777777" w:rsidR="003257B0" w:rsidRDefault="00754E93">
      <w:pPr>
        <w:ind w:left="1080"/>
        <w:rPr>
          <w:u w:val="single"/>
        </w:rPr>
      </w:pPr>
      <w:r w:rsidRPr="00002131">
        <w:rPr>
          <w:u w:val="single"/>
        </w:rPr>
        <w:t xml:space="preserve">Section III – Policy, </w:t>
      </w:r>
      <w:r w:rsidR="00C2045C">
        <w:rPr>
          <w:u w:val="single"/>
        </w:rPr>
        <w:t>Subsection</w:t>
      </w:r>
      <w:r w:rsidR="00C2045C" w:rsidRPr="00002131">
        <w:rPr>
          <w:u w:val="single"/>
        </w:rPr>
        <w:t xml:space="preserve"> </w:t>
      </w:r>
      <w:r w:rsidR="000F0C9C">
        <w:rPr>
          <w:u w:val="single"/>
        </w:rPr>
        <w:t>B</w:t>
      </w:r>
    </w:p>
    <w:p w14:paraId="175FD9C8" w14:textId="5B6EBAF0" w:rsidR="0009586D" w:rsidRDefault="0009586D">
      <w:pPr>
        <w:ind w:left="1080"/>
        <w:rPr>
          <w:u w:val="single"/>
        </w:rPr>
      </w:pPr>
    </w:p>
    <w:p w14:paraId="5EC3AE03" w14:textId="114183BB" w:rsidR="00AC6912" w:rsidRDefault="002B3C17">
      <w:pPr>
        <w:pStyle w:val="ListParagraph"/>
        <w:numPr>
          <w:ilvl w:val="0"/>
          <w:numId w:val="6"/>
        </w:numPr>
        <w:ind w:left="1440"/>
      </w:pPr>
      <w:r>
        <w:t xml:space="preserve">The existing </w:t>
      </w:r>
      <w:r w:rsidR="001777EE">
        <w:t>section entitled “Activities That Are Not Allowed (Prohibited Activities)</w:t>
      </w:r>
      <w:r w:rsidR="001010EC">
        <w:t xml:space="preserve"> </w:t>
      </w:r>
      <w:r>
        <w:t xml:space="preserve">will be removed from the main Policy, </w:t>
      </w:r>
      <w:r w:rsidR="001010EC">
        <w:t xml:space="preserve">and the provisions </w:t>
      </w:r>
      <w:r w:rsidR="001010EC">
        <w:lastRenderedPageBreak/>
        <w:t>detailing the p</w:t>
      </w:r>
      <w:r w:rsidR="001777EE">
        <w:t xml:space="preserve">rohibited </w:t>
      </w:r>
      <w:r w:rsidR="001010EC">
        <w:t>a</w:t>
      </w:r>
      <w:r w:rsidR="001777EE">
        <w:t>ctivities</w:t>
      </w:r>
      <w:r>
        <w:t xml:space="preserve"> will be moved</w:t>
      </w:r>
      <w:r w:rsidR="001777EE">
        <w:t xml:space="preserve"> into the respective </w:t>
      </w:r>
      <w:r>
        <w:t xml:space="preserve">new </w:t>
      </w:r>
      <w:r w:rsidR="001777EE">
        <w:t xml:space="preserve">Rules to which they </w:t>
      </w:r>
      <w:r w:rsidR="00FD0F80">
        <w:t>are applicable</w:t>
      </w:r>
      <w:r w:rsidR="001777EE">
        <w:t>.</w:t>
      </w:r>
      <w:r w:rsidR="000C2ECA">
        <w:t xml:space="preserve"> </w:t>
      </w:r>
    </w:p>
    <w:p w14:paraId="19675D4D" w14:textId="77777777" w:rsidR="00DC0089" w:rsidRDefault="00DC0089" w:rsidP="008A3027">
      <w:pPr>
        <w:pStyle w:val="ListParagraph"/>
        <w:ind w:left="1440"/>
      </w:pPr>
    </w:p>
    <w:p w14:paraId="1B8D72CB" w14:textId="48D4A6EB" w:rsidR="007D358A" w:rsidRDefault="0030644A">
      <w:pPr>
        <w:pStyle w:val="ListParagraph"/>
        <w:numPr>
          <w:ilvl w:val="0"/>
          <w:numId w:val="6"/>
        </w:numPr>
        <w:ind w:left="1440"/>
      </w:pPr>
      <w:r>
        <w:t>“Individual Conflict of Interest Committee</w:t>
      </w:r>
      <w:r w:rsidR="001C5CE1">
        <w:t>,</w:t>
      </w:r>
      <w:r>
        <w:t xml:space="preserve">” </w:t>
      </w:r>
      <w:r w:rsidR="001C5CE1">
        <w:t xml:space="preserve">which used to be </w:t>
      </w:r>
      <w:r>
        <w:t>Subsection C</w:t>
      </w:r>
      <w:r w:rsidR="001C5CE1">
        <w:t xml:space="preserve">, </w:t>
      </w:r>
      <w:r w:rsidR="002B3C17">
        <w:t>will be renumbered as</w:t>
      </w:r>
      <w:r w:rsidR="001C5CE1">
        <w:t xml:space="preserve"> Subsection B</w:t>
      </w:r>
      <w:r>
        <w:t>.</w:t>
      </w:r>
    </w:p>
    <w:p w14:paraId="6839DE14" w14:textId="46B60FE5" w:rsidR="0085711E" w:rsidRDefault="0085711E">
      <w:r>
        <w:t xml:space="preserve"> </w:t>
      </w:r>
    </w:p>
    <w:p w14:paraId="41624E48" w14:textId="7DEE5E09" w:rsidR="007F0536" w:rsidRDefault="00C4050C">
      <w:pPr>
        <w:ind w:left="1080"/>
        <w:rPr>
          <w:u w:val="single"/>
        </w:rPr>
      </w:pPr>
      <w:r w:rsidRPr="00002131">
        <w:rPr>
          <w:u w:val="single"/>
        </w:rPr>
        <w:t xml:space="preserve">Section III – Policy, </w:t>
      </w:r>
      <w:r w:rsidR="00E3542B">
        <w:rPr>
          <w:u w:val="single"/>
        </w:rPr>
        <w:t>Subsection</w:t>
      </w:r>
      <w:r w:rsidR="00E3542B" w:rsidRPr="00002131">
        <w:rPr>
          <w:u w:val="single"/>
        </w:rPr>
        <w:t xml:space="preserve"> </w:t>
      </w:r>
      <w:r w:rsidR="001777EE">
        <w:rPr>
          <w:u w:val="single"/>
        </w:rPr>
        <w:t>B</w:t>
      </w:r>
      <w:r w:rsidR="008F3254">
        <w:rPr>
          <w:u w:val="single"/>
        </w:rPr>
        <w:t>.</w:t>
      </w:r>
      <w:r w:rsidR="00FB54F4">
        <w:rPr>
          <w:u w:val="single"/>
        </w:rPr>
        <w:t>1</w:t>
      </w:r>
    </w:p>
    <w:p w14:paraId="16AD9081" w14:textId="591744BD" w:rsidR="007D358A" w:rsidRDefault="007D358A">
      <w:pPr>
        <w:ind w:left="1080"/>
      </w:pPr>
    </w:p>
    <w:p w14:paraId="55EC3B26" w14:textId="1C3FBA68" w:rsidR="00C53DA9" w:rsidRDefault="002B3C17">
      <w:pPr>
        <w:pStyle w:val="ListParagraph"/>
        <w:numPr>
          <w:ilvl w:val="0"/>
          <w:numId w:val="6"/>
        </w:numPr>
        <w:ind w:left="1440"/>
      </w:pPr>
      <w:r>
        <w:t>It will be clarified</w:t>
      </w:r>
      <w:r w:rsidR="00C53DA9">
        <w:t xml:space="preserve"> that faculty members </w:t>
      </w:r>
      <w:r w:rsidR="008F6F33">
        <w:t>serving on the Individual Conflict of Interest Committee must</w:t>
      </w:r>
      <w:r w:rsidR="00C53DA9">
        <w:t xml:space="preserve"> be tenure-line or career-line.</w:t>
      </w:r>
    </w:p>
    <w:p w14:paraId="53DEEB71" w14:textId="77777777" w:rsidR="00DC0089" w:rsidRDefault="00DC0089" w:rsidP="008A3027">
      <w:pPr>
        <w:pStyle w:val="ListParagraph"/>
        <w:ind w:left="1440"/>
      </w:pPr>
    </w:p>
    <w:p w14:paraId="2A22D79E" w14:textId="29055F69" w:rsidR="00C53DA9" w:rsidRDefault="002B3C17">
      <w:pPr>
        <w:pStyle w:val="ListParagraph"/>
        <w:numPr>
          <w:ilvl w:val="0"/>
          <w:numId w:val="6"/>
        </w:numPr>
        <w:ind w:left="1440"/>
      </w:pPr>
      <w:r>
        <w:t xml:space="preserve">A </w:t>
      </w:r>
      <w:r w:rsidR="00C53DA9">
        <w:t xml:space="preserve">reference </w:t>
      </w:r>
      <w:r>
        <w:t xml:space="preserve">will be added </w:t>
      </w:r>
      <w:r w:rsidR="00C53DA9">
        <w:t>to</w:t>
      </w:r>
      <w:r>
        <w:t xml:space="preserve"> existing</w:t>
      </w:r>
      <w:r w:rsidR="00C53DA9">
        <w:t xml:space="preserve"> University Rule 1-006A: Individual Conflict of Interest Committee Membership Rule.</w:t>
      </w:r>
    </w:p>
    <w:p w14:paraId="690F2131" w14:textId="203A5A8A" w:rsidR="00FB54F4" w:rsidRDefault="00FB54F4"/>
    <w:p w14:paraId="79B01A6D" w14:textId="189AA179" w:rsidR="00FB54F4" w:rsidRDefault="00FB54F4">
      <w:pPr>
        <w:ind w:left="1080"/>
        <w:rPr>
          <w:u w:val="single"/>
        </w:rPr>
      </w:pPr>
      <w:r w:rsidRPr="00002131">
        <w:rPr>
          <w:u w:val="single"/>
        </w:rPr>
        <w:t xml:space="preserve">Section III – Policy, </w:t>
      </w:r>
      <w:r w:rsidR="00E3542B">
        <w:rPr>
          <w:u w:val="single"/>
        </w:rPr>
        <w:t>Subsection</w:t>
      </w:r>
      <w:r w:rsidR="00E3542B" w:rsidRPr="00002131">
        <w:rPr>
          <w:u w:val="single"/>
        </w:rPr>
        <w:t xml:space="preserve"> </w:t>
      </w:r>
      <w:r w:rsidR="001777EE">
        <w:rPr>
          <w:u w:val="single"/>
        </w:rPr>
        <w:t>B</w:t>
      </w:r>
      <w:r w:rsidR="008F3254">
        <w:rPr>
          <w:u w:val="single"/>
        </w:rPr>
        <w:t>.</w:t>
      </w:r>
      <w:r>
        <w:rPr>
          <w:u w:val="single"/>
        </w:rPr>
        <w:t>2</w:t>
      </w:r>
      <w:r w:rsidR="008F3254">
        <w:rPr>
          <w:u w:val="single"/>
        </w:rPr>
        <w:t>.</w:t>
      </w:r>
    </w:p>
    <w:p w14:paraId="24E3CABF" w14:textId="77777777" w:rsidR="00E5499C" w:rsidRDefault="00E5499C">
      <w:pPr>
        <w:rPr>
          <w:u w:val="single"/>
        </w:rPr>
      </w:pPr>
    </w:p>
    <w:p w14:paraId="4ABFDD87" w14:textId="3BE2DD33" w:rsidR="00FB54F4" w:rsidRDefault="008F3254">
      <w:pPr>
        <w:pStyle w:val="ListParagraph"/>
        <w:numPr>
          <w:ilvl w:val="0"/>
          <w:numId w:val="6"/>
        </w:numPr>
        <w:ind w:left="1440"/>
      </w:pPr>
      <w:r>
        <w:t xml:space="preserve">As </w:t>
      </w:r>
      <w:r w:rsidR="002B3C17">
        <w:t xml:space="preserve">explained </w:t>
      </w:r>
      <w:r>
        <w:t xml:space="preserve">above, the </w:t>
      </w:r>
      <w:r w:rsidR="002B3C17">
        <w:t xml:space="preserve">existing </w:t>
      </w:r>
      <w:r>
        <w:t>reference to “</w:t>
      </w:r>
      <w:r w:rsidR="00FB54F4">
        <w:t>Significant Financial Interest</w:t>
      </w:r>
      <w:r>
        <w:t>”</w:t>
      </w:r>
      <w:r w:rsidR="00FB54F4">
        <w:t xml:space="preserve"> </w:t>
      </w:r>
      <w:r w:rsidR="002B3C17">
        <w:t xml:space="preserve">will be replaced </w:t>
      </w:r>
      <w:r w:rsidR="00FB54F4">
        <w:t xml:space="preserve">with </w:t>
      </w:r>
      <w:r>
        <w:t>“</w:t>
      </w:r>
      <w:r w:rsidR="00FB54F4">
        <w:t>Financial Relationship</w:t>
      </w:r>
      <w:r>
        <w:t>.”</w:t>
      </w:r>
    </w:p>
    <w:p w14:paraId="06FED9D7" w14:textId="1C9DF1E9" w:rsidR="00FB54F4" w:rsidRDefault="00FB54F4"/>
    <w:p w14:paraId="5D8C8A9D" w14:textId="77777777" w:rsidR="00A91E71" w:rsidRDefault="00560F97">
      <w:pPr>
        <w:ind w:left="1080"/>
        <w:rPr>
          <w:u w:val="single"/>
        </w:rPr>
      </w:pPr>
      <w:r w:rsidRPr="00002131">
        <w:rPr>
          <w:u w:val="single"/>
        </w:rPr>
        <w:t xml:space="preserve">Section III – Policy, </w:t>
      </w:r>
      <w:r w:rsidR="00E3542B">
        <w:rPr>
          <w:u w:val="single"/>
        </w:rPr>
        <w:t>Subsection</w:t>
      </w:r>
      <w:r w:rsidR="00E3542B" w:rsidRPr="00002131">
        <w:rPr>
          <w:u w:val="single"/>
        </w:rPr>
        <w:t xml:space="preserve"> </w:t>
      </w:r>
      <w:r w:rsidR="001777EE">
        <w:rPr>
          <w:u w:val="single"/>
        </w:rPr>
        <w:t>C</w:t>
      </w:r>
    </w:p>
    <w:p w14:paraId="405F69D3" w14:textId="161BB605" w:rsidR="00E5499C" w:rsidRDefault="00E5499C">
      <w:pPr>
        <w:rPr>
          <w:u w:val="single"/>
        </w:rPr>
      </w:pPr>
    </w:p>
    <w:p w14:paraId="2CB00A5C" w14:textId="094CC14D" w:rsidR="001777EE" w:rsidRPr="009F3FBE" w:rsidRDefault="001777EE">
      <w:pPr>
        <w:pStyle w:val="ListParagraph"/>
        <w:numPr>
          <w:ilvl w:val="0"/>
          <w:numId w:val="16"/>
        </w:numPr>
      </w:pPr>
      <w:r w:rsidRPr="009F3FBE">
        <w:t>“Conflict of Interest Office and Committee Responsibilities</w:t>
      </w:r>
      <w:r w:rsidR="00C97BA2" w:rsidRPr="009F3FBE">
        <w:t>,</w:t>
      </w:r>
      <w:r w:rsidRPr="009F3FBE">
        <w:t>”</w:t>
      </w:r>
      <w:r w:rsidR="00C97BA2" w:rsidRPr="009F3FBE">
        <w:t xml:space="preserve"> which </w:t>
      </w:r>
      <w:r w:rsidR="001C5CE1" w:rsidRPr="009F3FBE">
        <w:t>used to be</w:t>
      </w:r>
      <w:r w:rsidRPr="009F3FBE">
        <w:t xml:space="preserve"> Subsection D</w:t>
      </w:r>
      <w:r w:rsidR="00C97BA2" w:rsidRPr="009F3FBE">
        <w:t xml:space="preserve">, </w:t>
      </w:r>
      <w:r w:rsidR="002B3C17">
        <w:t>will be renumbered to</w:t>
      </w:r>
      <w:r w:rsidR="00C97BA2" w:rsidRPr="009F3FBE">
        <w:t xml:space="preserve"> Subsection C</w:t>
      </w:r>
      <w:r w:rsidRPr="009F3FBE">
        <w:t>.</w:t>
      </w:r>
    </w:p>
    <w:p w14:paraId="52D22073" w14:textId="77777777" w:rsidR="001777EE" w:rsidRDefault="001777EE">
      <w:pPr>
        <w:ind w:left="1080"/>
        <w:rPr>
          <w:u w:val="single"/>
        </w:rPr>
      </w:pPr>
    </w:p>
    <w:p w14:paraId="77CCC860" w14:textId="290E54A5" w:rsidR="001777EE" w:rsidRDefault="001777EE">
      <w:pPr>
        <w:ind w:left="1080"/>
        <w:rPr>
          <w:u w:val="single"/>
        </w:rPr>
      </w:pPr>
      <w:r w:rsidRPr="00002131">
        <w:rPr>
          <w:u w:val="single"/>
        </w:rPr>
        <w:t xml:space="preserve">Section III – Policy, </w:t>
      </w:r>
      <w:r>
        <w:rPr>
          <w:u w:val="single"/>
        </w:rPr>
        <w:t>Subsection</w:t>
      </w:r>
      <w:r w:rsidRPr="00002131">
        <w:rPr>
          <w:u w:val="single"/>
        </w:rPr>
        <w:t xml:space="preserve"> </w:t>
      </w:r>
      <w:r>
        <w:rPr>
          <w:u w:val="single"/>
        </w:rPr>
        <w:t>C.1</w:t>
      </w:r>
    </w:p>
    <w:p w14:paraId="725627C9" w14:textId="3EE7DDB5" w:rsidR="00FB54F4" w:rsidRDefault="00FB54F4">
      <w:pPr>
        <w:ind w:firstLine="360"/>
        <w:rPr>
          <w:u w:val="single"/>
        </w:rPr>
      </w:pPr>
    </w:p>
    <w:p w14:paraId="3C578F36" w14:textId="0327FA8A" w:rsidR="002F2CCE" w:rsidRDefault="008F3254">
      <w:pPr>
        <w:pStyle w:val="ListParagraph"/>
        <w:numPr>
          <w:ilvl w:val="0"/>
          <w:numId w:val="6"/>
        </w:numPr>
        <w:ind w:left="1440"/>
      </w:pPr>
      <w:r>
        <w:t xml:space="preserve">As </w:t>
      </w:r>
      <w:r w:rsidR="002B3C17">
        <w:t xml:space="preserve">explained </w:t>
      </w:r>
      <w:r>
        <w:t>above, references to “</w:t>
      </w:r>
      <w:r w:rsidR="002F2CCE">
        <w:t>Significant Financial Interest</w:t>
      </w:r>
      <w:r>
        <w:t>”</w:t>
      </w:r>
      <w:r w:rsidR="002F2CCE">
        <w:t xml:space="preserve"> </w:t>
      </w:r>
      <w:r w:rsidR="002B3C17">
        <w:t xml:space="preserve">will be replaced </w:t>
      </w:r>
      <w:r w:rsidR="002F2CCE">
        <w:t xml:space="preserve">with </w:t>
      </w:r>
      <w:r>
        <w:t>“</w:t>
      </w:r>
      <w:r w:rsidR="002F2CCE">
        <w:t>Financial Relationship</w:t>
      </w:r>
      <w:r>
        <w:t>.”</w:t>
      </w:r>
    </w:p>
    <w:p w14:paraId="582BD2B8" w14:textId="30515290" w:rsidR="002F2CCE" w:rsidRDefault="002F2CCE">
      <w:pPr>
        <w:pStyle w:val="ListParagraph"/>
        <w:ind w:left="1440"/>
      </w:pPr>
    </w:p>
    <w:p w14:paraId="3096C382" w14:textId="415BB70D" w:rsidR="002610E1" w:rsidRDefault="002610E1">
      <w:pPr>
        <w:ind w:left="1080"/>
        <w:rPr>
          <w:u w:val="single"/>
        </w:rPr>
      </w:pPr>
      <w:r w:rsidRPr="00002131">
        <w:rPr>
          <w:u w:val="single"/>
        </w:rPr>
        <w:t xml:space="preserve">Section III – Policy, </w:t>
      </w:r>
      <w:r w:rsidR="00E3542B">
        <w:rPr>
          <w:u w:val="single"/>
        </w:rPr>
        <w:t>Subsection</w:t>
      </w:r>
      <w:r w:rsidR="00E3542B" w:rsidRPr="00002131">
        <w:rPr>
          <w:u w:val="single"/>
        </w:rPr>
        <w:t xml:space="preserve"> </w:t>
      </w:r>
      <w:r w:rsidR="004A3FC5">
        <w:rPr>
          <w:u w:val="single"/>
        </w:rPr>
        <w:t>D</w:t>
      </w:r>
    </w:p>
    <w:p w14:paraId="0986558D" w14:textId="77777777" w:rsidR="00A91E71" w:rsidRDefault="00A91E71">
      <w:pPr>
        <w:ind w:left="1080"/>
        <w:rPr>
          <w:u w:val="single"/>
        </w:rPr>
      </w:pPr>
    </w:p>
    <w:p w14:paraId="6A81CBF0" w14:textId="53627A9C" w:rsidR="00CE26C3" w:rsidRPr="002945E6" w:rsidRDefault="002B3C17">
      <w:pPr>
        <w:pStyle w:val="ListParagraph"/>
        <w:numPr>
          <w:ilvl w:val="0"/>
          <w:numId w:val="12"/>
        </w:numPr>
        <w:ind w:left="1440"/>
      </w:pPr>
      <w:r>
        <w:t>T</w:t>
      </w:r>
      <w:r w:rsidR="001D1036" w:rsidRPr="002945E6">
        <w:t xml:space="preserve">he </w:t>
      </w:r>
      <w:r w:rsidR="00CE26C3" w:rsidRPr="00D212A4">
        <w:t xml:space="preserve">existing language </w:t>
      </w:r>
      <w:r>
        <w:t xml:space="preserve">from </w:t>
      </w:r>
      <w:r w:rsidR="001D1036" w:rsidRPr="002945E6">
        <w:t>Section III.H</w:t>
      </w:r>
      <w:r w:rsidR="00CE26C3" w:rsidRPr="00D212A4">
        <w:t xml:space="preserve"> </w:t>
      </w:r>
      <w:r w:rsidR="00D212A4">
        <w:t>(</w:t>
      </w:r>
      <w:r w:rsidR="001D1036" w:rsidRPr="002945E6">
        <w:t>“</w:t>
      </w:r>
      <w:r w:rsidR="00CE26C3" w:rsidRPr="00D212A4">
        <w:t>Appeals</w:t>
      </w:r>
      <w:r w:rsidR="001D1036" w:rsidRPr="002945E6">
        <w:t>”</w:t>
      </w:r>
      <w:r w:rsidR="00D212A4">
        <w:t>)</w:t>
      </w:r>
      <w:r w:rsidR="00CE26C3" w:rsidRPr="00D212A4">
        <w:t xml:space="preserve"> </w:t>
      </w:r>
      <w:r>
        <w:t xml:space="preserve">will be moved </w:t>
      </w:r>
      <w:r w:rsidR="00CE26C3" w:rsidRPr="00D212A4">
        <w:t>to this s</w:t>
      </w:r>
      <w:r w:rsidR="00D212A4">
        <w:t>ubs</w:t>
      </w:r>
      <w:r w:rsidR="00CE26C3" w:rsidRPr="00D212A4">
        <w:t>ection.</w:t>
      </w:r>
    </w:p>
    <w:p w14:paraId="649B0753" w14:textId="153E3A0C" w:rsidR="00CE26C3" w:rsidRDefault="00CE26C3">
      <w:pPr>
        <w:ind w:left="360"/>
        <w:rPr>
          <w:u w:val="single"/>
        </w:rPr>
      </w:pPr>
    </w:p>
    <w:p w14:paraId="35B55D4F" w14:textId="768A50DA" w:rsidR="00D212A4" w:rsidRDefault="00CE26C3">
      <w:pPr>
        <w:ind w:left="1080"/>
        <w:rPr>
          <w:u w:val="single"/>
        </w:rPr>
      </w:pPr>
      <w:r>
        <w:rPr>
          <w:u w:val="single"/>
        </w:rPr>
        <w:t xml:space="preserve">Section III – Policy, Subsection </w:t>
      </w:r>
      <w:r w:rsidR="004A3FC5">
        <w:rPr>
          <w:u w:val="single"/>
        </w:rPr>
        <w:t>E</w:t>
      </w:r>
    </w:p>
    <w:p w14:paraId="0F459B34" w14:textId="4F4B2748" w:rsidR="00CE26C3" w:rsidRDefault="00CE26C3">
      <w:pPr>
        <w:rPr>
          <w:u w:val="single"/>
        </w:rPr>
      </w:pPr>
    </w:p>
    <w:p w14:paraId="2F2C06BB" w14:textId="2D0C7DFC" w:rsidR="00CE26C3" w:rsidRDefault="002B3C17">
      <w:pPr>
        <w:pStyle w:val="ListParagraph"/>
        <w:numPr>
          <w:ilvl w:val="0"/>
          <w:numId w:val="12"/>
        </w:numPr>
        <w:ind w:left="1440"/>
      </w:pPr>
      <w:r>
        <w:t>T</w:t>
      </w:r>
      <w:r w:rsidR="008F6F33" w:rsidRPr="002945E6">
        <w:t>he title</w:t>
      </w:r>
      <w:r w:rsidR="00CE26C3" w:rsidRPr="00D212A4">
        <w:t xml:space="preserve"> of this section </w:t>
      </w:r>
      <w:r>
        <w:t xml:space="preserve">will be revised </w:t>
      </w:r>
      <w:r w:rsidR="00042AF9" w:rsidRPr="00D212A4">
        <w:t>to “Confidentiality and Internal and External Dissemination of Information Regarding Conflicts</w:t>
      </w:r>
      <w:r w:rsidR="00D212A4" w:rsidRPr="002945E6">
        <w:t>.</w:t>
      </w:r>
      <w:r w:rsidR="00042AF9" w:rsidRPr="00D212A4">
        <w:t>”</w:t>
      </w:r>
    </w:p>
    <w:p w14:paraId="5349E677" w14:textId="77777777" w:rsidR="00DC0089" w:rsidRPr="00D212A4" w:rsidRDefault="00DC0089" w:rsidP="008A3027">
      <w:pPr>
        <w:pStyle w:val="ListParagraph"/>
        <w:ind w:left="1440"/>
      </w:pPr>
    </w:p>
    <w:p w14:paraId="7C78AC41" w14:textId="0B925D2D" w:rsidR="002D131F" w:rsidRDefault="002B3C17">
      <w:pPr>
        <w:pStyle w:val="ListParagraph"/>
        <w:numPr>
          <w:ilvl w:val="0"/>
          <w:numId w:val="7"/>
        </w:numPr>
        <w:ind w:left="1440"/>
      </w:pPr>
      <w:r>
        <w:t>T</w:t>
      </w:r>
      <w:r w:rsidR="006D2202">
        <w:t>he</w:t>
      </w:r>
      <w:r w:rsidR="002610E1">
        <w:t xml:space="preserve"> language </w:t>
      </w:r>
      <w:r w:rsidR="00CB7168">
        <w:t>in Section III.</w:t>
      </w:r>
      <w:r w:rsidR="004A3FC5">
        <w:t>E</w:t>
      </w:r>
      <w:r w:rsidR="00CB7168">
        <w:t>.</w:t>
      </w:r>
      <w:r w:rsidR="004A3FC5">
        <w:t>7</w:t>
      </w:r>
      <w:r w:rsidR="00CB7168">
        <w:t>.</w:t>
      </w:r>
      <w:r>
        <w:t xml:space="preserve"> will be updated</w:t>
      </w:r>
      <w:r w:rsidR="00CB7168">
        <w:t xml:space="preserve"> </w:t>
      </w:r>
      <w:r w:rsidR="002610E1">
        <w:t xml:space="preserve">to clarify </w:t>
      </w:r>
      <w:r w:rsidR="006D2202">
        <w:t>that</w:t>
      </w:r>
      <w:r w:rsidR="004A3FC5">
        <w:t xml:space="preserve"> confidential information</w:t>
      </w:r>
      <w:r w:rsidR="006D2202">
        <w:t xml:space="preserve"> available only to certain U</w:t>
      </w:r>
      <w:r w:rsidR="005E68A0">
        <w:t>niversity offices and employees</w:t>
      </w:r>
      <w:r w:rsidR="004A3FC5">
        <w:t xml:space="preserve"> as described in Sections III.E.5</w:t>
      </w:r>
      <w:r w:rsidR="00A91E71">
        <w:t xml:space="preserve"> and III.E.</w:t>
      </w:r>
      <w:r w:rsidR="004A3FC5">
        <w:t xml:space="preserve">6. </w:t>
      </w:r>
      <w:r w:rsidR="005E68A0">
        <w:t>can</w:t>
      </w:r>
      <w:r w:rsidR="000C57B6">
        <w:t>not be disclosed or used for any purpose unrelated to Policy 1-006, unless required by law.</w:t>
      </w:r>
    </w:p>
    <w:p w14:paraId="260DC9A5" w14:textId="453D2841" w:rsidR="00292174" w:rsidRDefault="00292174"/>
    <w:p w14:paraId="25723789" w14:textId="5C2D94AD" w:rsidR="00292174" w:rsidRDefault="00292174">
      <w:pPr>
        <w:ind w:left="1080"/>
        <w:rPr>
          <w:u w:val="single"/>
        </w:rPr>
      </w:pPr>
      <w:r w:rsidRPr="00002131">
        <w:rPr>
          <w:u w:val="single"/>
        </w:rPr>
        <w:t xml:space="preserve">Section III – Policy, </w:t>
      </w:r>
      <w:r w:rsidR="00E3542B">
        <w:rPr>
          <w:u w:val="single"/>
        </w:rPr>
        <w:t>Subsection</w:t>
      </w:r>
      <w:r w:rsidR="00E3542B" w:rsidRPr="00002131">
        <w:rPr>
          <w:u w:val="single"/>
        </w:rPr>
        <w:t xml:space="preserve"> </w:t>
      </w:r>
      <w:r w:rsidR="00795915">
        <w:rPr>
          <w:u w:val="single"/>
        </w:rPr>
        <w:t>F</w:t>
      </w:r>
    </w:p>
    <w:p w14:paraId="0105A986" w14:textId="77777777" w:rsidR="003621A6" w:rsidRDefault="003621A6">
      <w:pPr>
        <w:ind w:firstLine="360"/>
        <w:rPr>
          <w:u w:val="single"/>
        </w:rPr>
      </w:pPr>
    </w:p>
    <w:p w14:paraId="1CAE357E" w14:textId="4E578AC1" w:rsidR="001E331F" w:rsidRPr="002945E6" w:rsidRDefault="002B3C17">
      <w:pPr>
        <w:pStyle w:val="ListParagraph"/>
        <w:numPr>
          <w:ilvl w:val="0"/>
          <w:numId w:val="13"/>
        </w:numPr>
        <w:ind w:left="1440"/>
      </w:pPr>
      <w:r>
        <w:lastRenderedPageBreak/>
        <w:t>T</w:t>
      </w:r>
      <w:r w:rsidR="00454B02" w:rsidRPr="002945E6">
        <w:t>he title</w:t>
      </w:r>
      <w:r w:rsidR="001E331F" w:rsidRPr="003621A6">
        <w:t xml:space="preserve"> of this subsection </w:t>
      </w:r>
      <w:r>
        <w:t xml:space="preserve">will be revised </w:t>
      </w:r>
      <w:r w:rsidR="001E331F" w:rsidRPr="003621A6">
        <w:t>to “Violations/Non-Compliance</w:t>
      </w:r>
      <w:r w:rsidR="00975376">
        <w:t>.</w:t>
      </w:r>
      <w:r w:rsidR="001E331F" w:rsidRPr="003621A6">
        <w:t xml:space="preserve">” Throughout this section language </w:t>
      </w:r>
      <w:r>
        <w:t xml:space="preserve">will be added </w:t>
      </w:r>
      <w:r w:rsidR="001E331F" w:rsidRPr="003621A6">
        <w:t xml:space="preserve">describing an individual’s failure to comply with an approved </w:t>
      </w:r>
      <w:r w:rsidR="007D3A35" w:rsidRPr="002945E6">
        <w:t xml:space="preserve">conflict of interest </w:t>
      </w:r>
      <w:r w:rsidR="001E331F" w:rsidRPr="003621A6">
        <w:t>management plan as a policy violation</w:t>
      </w:r>
      <w:r w:rsidR="00975376">
        <w:t>, which is consistent with the COI Committee's current practice.</w:t>
      </w:r>
    </w:p>
    <w:p w14:paraId="1E28FC9B" w14:textId="0E03C091" w:rsidR="0014327B" w:rsidRDefault="0014327B">
      <w:pPr>
        <w:rPr>
          <w:u w:val="single"/>
        </w:rPr>
      </w:pPr>
    </w:p>
    <w:p w14:paraId="40FF35DF" w14:textId="5BAD8D75" w:rsidR="0014327B" w:rsidRDefault="0014327B">
      <w:pPr>
        <w:ind w:left="1080"/>
        <w:rPr>
          <w:u w:val="single"/>
        </w:rPr>
      </w:pPr>
      <w:r w:rsidRPr="00002131">
        <w:rPr>
          <w:u w:val="single"/>
        </w:rPr>
        <w:t xml:space="preserve">Section III – Policy, </w:t>
      </w:r>
      <w:r>
        <w:rPr>
          <w:u w:val="single"/>
        </w:rPr>
        <w:t>Subsection</w:t>
      </w:r>
      <w:r w:rsidRPr="00002131">
        <w:rPr>
          <w:u w:val="single"/>
        </w:rPr>
        <w:t xml:space="preserve"> </w:t>
      </w:r>
      <w:r w:rsidR="0062107D">
        <w:rPr>
          <w:u w:val="single"/>
        </w:rPr>
        <w:t>G</w:t>
      </w:r>
      <w:r>
        <w:rPr>
          <w:u w:val="single"/>
        </w:rPr>
        <w:t>.1</w:t>
      </w:r>
    </w:p>
    <w:p w14:paraId="32C7F4D7" w14:textId="77777777" w:rsidR="00CF25EB" w:rsidRPr="002945E6" w:rsidRDefault="00CF25EB">
      <w:pPr>
        <w:ind w:firstLine="360"/>
        <w:rPr>
          <w:u w:val="single"/>
        </w:rPr>
      </w:pPr>
    </w:p>
    <w:p w14:paraId="29C93C9E" w14:textId="49BC99BC" w:rsidR="00292174" w:rsidRDefault="002B3C17">
      <w:pPr>
        <w:pStyle w:val="ListParagraph"/>
        <w:numPr>
          <w:ilvl w:val="0"/>
          <w:numId w:val="7"/>
        </w:numPr>
        <w:ind w:left="1440"/>
      </w:pPr>
      <w:r>
        <w:t xml:space="preserve">A </w:t>
      </w:r>
      <w:r w:rsidR="00292174">
        <w:t>duplicate paragraph</w:t>
      </w:r>
      <w:r w:rsidR="002369BF">
        <w:t xml:space="preserve"> in t</w:t>
      </w:r>
      <w:r w:rsidR="0052798C">
        <w:t xml:space="preserve">he current </w:t>
      </w:r>
      <w:r>
        <w:t>P</w:t>
      </w:r>
      <w:r w:rsidR="0052798C">
        <w:t>olicy</w:t>
      </w:r>
      <w:r>
        <w:t xml:space="preserve"> will be deleted</w:t>
      </w:r>
      <w:r w:rsidR="00BC4DD5">
        <w:t>.</w:t>
      </w:r>
    </w:p>
    <w:p w14:paraId="6362ABFE" w14:textId="77777777" w:rsidR="00DC0089" w:rsidRDefault="00DC0089" w:rsidP="008A3027">
      <w:pPr>
        <w:pStyle w:val="ListParagraph"/>
        <w:ind w:left="1440"/>
      </w:pPr>
    </w:p>
    <w:p w14:paraId="2E60571B" w14:textId="38C59966" w:rsidR="002369BF" w:rsidRDefault="0017783D">
      <w:pPr>
        <w:pStyle w:val="ListParagraph"/>
        <w:numPr>
          <w:ilvl w:val="1"/>
          <w:numId w:val="7"/>
        </w:numPr>
      </w:pPr>
      <w:r>
        <w:t>To ensure th</w:t>
      </w:r>
      <w:r w:rsidR="002B3C17">
        <w:t>is</w:t>
      </w:r>
      <w:r>
        <w:t xml:space="preserve"> </w:t>
      </w:r>
      <w:r w:rsidR="002B3C17">
        <w:t>P</w:t>
      </w:r>
      <w:r>
        <w:t>olicy is c</w:t>
      </w:r>
      <w:r w:rsidR="002369BF">
        <w:t>onsistent with Policy 7-006</w:t>
      </w:r>
      <w:r w:rsidR="00DC5E2E">
        <w:t xml:space="preserve"> (</w:t>
      </w:r>
      <w:r w:rsidR="00DC5E2E" w:rsidRPr="00DC5E2E">
        <w:t>Institutional Financial Conflicts of Interest for Research Involving Human Subjects)</w:t>
      </w:r>
      <w:r w:rsidR="002369BF">
        <w:t xml:space="preserve">, </w:t>
      </w:r>
      <w:r w:rsidR="00DC5E2E">
        <w:t xml:space="preserve">the revision will </w:t>
      </w:r>
      <w:r w:rsidR="002369BF">
        <w:t>clarif</w:t>
      </w:r>
      <w:r w:rsidR="00DC5E2E">
        <w:t>y</w:t>
      </w:r>
      <w:r w:rsidR="002369BF">
        <w:t xml:space="preserve"> that the COI Committee and the University’s ICOI Officer (as opposed to the ICOI Committee) will consult on cases on institutional COIs.</w:t>
      </w:r>
    </w:p>
    <w:p w14:paraId="22821979" w14:textId="0ECC4CDF" w:rsidR="0062107D" w:rsidRDefault="0062107D"/>
    <w:p w14:paraId="7C0476A0" w14:textId="6C91A572" w:rsidR="005D61A0" w:rsidRPr="0051773F" w:rsidRDefault="005D61A0">
      <w:pPr>
        <w:pStyle w:val="ListParagraph"/>
        <w:numPr>
          <w:ilvl w:val="0"/>
          <w:numId w:val="8"/>
        </w:numPr>
        <w:rPr>
          <w:b/>
          <w:i/>
        </w:rPr>
      </w:pPr>
      <w:r w:rsidRPr="0051773F">
        <w:rPr>
          <w:b/>
          <w:i/>
        </w:rPr>
        <w:t xml:space="preserve">Changes </w:t>
      </w:r>
      <w:r>
        <w:rPr>
          <w:b/>
          <w:i/>
        </w:rPr>
        <w:t xml:space="preserve">of </w:t>
      </w:r>
      <w:r w:rsidR="005D6FB7">
        <w:rPr>
          <w:b/>
          <w:i/>
        </w:rPr>
        <w:t xml:space="preserve">Three University </w:t>
      </w:r>
      <w:r>
        <w:rPr>
          <w:b/>
          <w:i/>
        </w:rPr>
        <w:t xml:space="preserve">Rules </w:t>
      </w:r>
    </w:p>
    <w:p w14:paraId="3FD6CD5A" w14:textId="41128454" w:rsidR="005D61A0" w:rsidRDefault="005D61A0">
      <w:pPr>
        <w:ind w:left="1080"/>
      </w:pPr>
    </w:p>
    <w:p w14:paraId="7D42DCD1" w14:textId="0D01A39D" w:rsidR="005D6FB7" w:rsidRPr="007722CF" w:rsidRDefault="00DC5E2E">
      <w:pPr>
        <w:ind w:left="1080"/>
      </w:pPr>
      <w:r w:rsidRPr="00AE2AB7">
        <w:t>The proposal is to create</w:t>
      </w:r>
      <w:r w:rsidR="0062107D" w:rsidRPr="00AE2AB7">
        <w:t xml:space="preserve"> three new </w:t>
      </w:r>
      <w:r w:rsidRPr="00AE2AB7">
        <w:t>University R</w:t>
      </w:r>
      <w:r w:rsidR="0062107D" w:rsidRPr="00AE2AB7">
        <w:t>ules</w:t>
      </w:r>
      <w:r w:rsidR="005D6FB7" w:rsidRPr="00AE2AB7">
        <w:t xml:space="preserve">, and to make minor changes </w:t>
      </w:r>
      <w:r w:rsidR="005D6FB7" w:rsidRPr="007722CF">
        <w:t>to one University Procedure associated with Policy 1-006.</w:t>
      </w:r>
    </w:p>
    <w:p w14:paraId="09B0D083" w14:textId="77777777" w:rsidR="005D6FB7" w:rsidRPr="007722CF" w:rsidRDefault="005D6FB7"/>
    <w:p w14:paraId="0133328C" w14:textId="28F65E60" w:rsidR="0062107D" w:rsidRDefault="005D6FB7">
      <w:pPr>
        <w:ind w:left="1080"/>
      </w:pPr>
      <w:r w:rsidRPr="00AE2AB7">
        <w:t>The new University Rules are intended</w:t>
      </w:r>
      <w:r w:rsidR="0062107D" w:rsidRPr="00AE2AB7">
        <w:t xml:space="preserve"> to address </w:t>
      </w:r>
      <w:r w:rsidR="00B04331" w:rsidRPr="00AE2AB7">
        <w:t xml:space="preserve">the conflict of interest </w:t>
      </w:r>
      <w:r w:rsidR="0062107D" w:rsidRPr="00AE2AB7">
        <w:t xml:space="preserve">review process </w:t>
      </w:r>
      <w:r w:rsidR="00EB7034" w:rsidRPr="00AE2AB7">
        <w:t xml:space="preserve">for </w:t>
      </w:r>
      <w:r w:rsidR="00B04331" w:rsidRPr="00AE2AB7">
        <w:t xml:space="preserve">Research, Scholarly </w:t>
      </w:r>
      <w:r w:rsidR="000700C8">
        <w:t>or</w:t>
      </w:r>
      <w:r w:rsidR="000700C8" w:rsidRPr="00AE2AB7">
        <w:t xml:space="preserve"> </w:t>
      </w:r>
      <w:r w:rsidR="00B04331" w:rsidRPr="00AE2AB7">
        <w:t>Educational Activity, and Transactions</w:t>
      </w:r>
      <w:r w:rsidR="00DC5E2E" w:rsidRPr="00AE2AB7">
        <w:t>. As explained above, much of the contents of these new Rules will be existing contents of the existing main Policy, being moved into the new Rules and then appropriately modified. The Rules are</w:t>
      </w:r>
      <w:r w:rsidR="00EB7034" w:rsidRPr="00AE2AB7">
        <w:t>:</w:t>
      </w:r>
    </w:p>
    <w:p w14:paraId="0E8F5CF3" w14:textId="77777777" w:rsidR="00D61AD4" w:rsidRPr="00AE2AB7" w:rsidRDefault="00D61AD4">
      <w:pPr>
        <w:ind w:left="1080"/>
      </w:pPr>
    </w:p>
    <w:p w14:paraId="388EF226" w14:textId="1641AC50" w:rsidR="00EB7034" w:rsidRDefault="00EB7034" w:rsidP="008A3027">
      <w:pPr>
        <w:pStyle w:val="ListParagraph"/>
        <w:numPr>
          <w:ilvl w:val="0"/>
          <w:numId w:val="18"/>
        </w:numPr>
        <w:ind w:left="1530"/>
      </w:pPr>
      <w:r w:rsidRPr="00AE2AB7">
        <w:t>Rule 1-006C: Individual Financial Conflict of Interest in Research</w:t>
      </w:r>
    </w:p>
    <w:p w14:paraId="707C27BD" w14:textId="77777777" w:rsidR="00D61AD4" w:rsidRDefault="00D61AD4" w:rsidP="008A3027">
      <w:pPr>
        <w:pStyle w:val="ListParagraph"/>
        <w:ind w:left="1530"/>
      </w:pPr>
    </w:p>
    <w:p w14:paraId="2FA2B863" w14:textId="03D9EEEC" w:rsidR="005D6FB7" w:rsidRDefault="00EB7034" w:rsidP="008A3027">
      <w:pPr>
        <w:pStyle w:val="ListParagraph"/>
        <w:numPr>
          <w:ilvl w:val="0"/>
          <w:numId w:val="18"/>
        </w:numPr>
        <w:ind w:left="1530"/>
      </w:pPr>
      <w:r w:rsidRPr="00AE2AB7">
        <w:t>Rule 1-006D: Individual Financial Conflict of Interest in Scholarly or Educational Activit</w:t>
      </w:r>
      <w:r w:rsidR="00B04331" w:rsidRPr="00AE2AB7">
        <w:t>y</w:t>
      </w:r>
    </w:p>
    <w:p w14:paraId="3534C5C2" w14:textId="77777777" w:rsidR="00D61AD4" w:rsidRDefault="00D61AD4" w:rsidP="008A3027">
      <w:pPr>
        <w:pStyle w:val="ListParagraph"/>
      </w:pPr>
    </w:p>
    <w:p w14:paraId="6A56CEB4" w14:textId="2F33C75F" w:rsidR="00EB7034" w:rsidRPr="00AE2AB7" w:rsidRDefault="00EB7034" w:rsidP="008A3027">
      <w:pPr>
        <w:pStyle w:val="ListParagraph"/>
        <w:numPr>
          <w:ilvl w:val="0"/>
          <w:numId w:val="18"/>
        </w:numPr>
        <w:ind w:left="1530"/>
      </w:pPr>
      <w:r w:rsidRPr="00AE2AB7">
        <w:t>Rule 1-006E: Individual Financial Conflict of Interest in Transactions</w:t>
      </w:r>
    </w:p>
    <w:p w14:paraId="541655A4" w14:textId="77777777" w:rsidR="00DC5E2E" w:rsidRPr="00AE2AB7" w:rsidRDefault="00DC5E2E">
      <w:pPr>
        <w:pStyle w:val="ListParagraph"/>
        <w:ind w:left="1440"/>
      </w:pPr>
    </w:p>
    <w:p w14:paraId="57086F7C" w14:textId="45393A1A" w:rsidR="00DC5E2E" w:rsidRDefault="00DC5E2E" w:rsidP="008A3027">
      <w:pPr>
        <w:ind w:left="1080"/>
      </w:pPr>
      <w:r w:rsidRPr="00AE2AB7">
        <w:t>Note that the proposal does not contemplate any changes to the two existing University Rules associated with Policy 1-006, which are</w:t>
      </w:r>
      <w:r w:rsidR="000700C8">
        <w:t>:</w:t>
      </w:r>
      <w:r w:rsidRPr="00AE2AB7">
        <w:t xml:space="preserve"> </w:t>
      </w:r>
    </w:p>
    <w:p w14:paraId="3F76E212" w14:textId="77777777" w:rsidR="00D61AD4" w:rsidRPr="00AE2AB7" w:rsidRDefault="00D61AD4" w:rsidP="008A3027">
      <w:pPr>
        <w:ind w:left="1080"/>
      </w:pPr>
    </w:p>
    <w:p w14:paraId="7478E12D" w14:textId="7406FA0E" w:rsidR="00DC5E2E" w:rsidRDefault="00DC5E2E">
      <w:pPr>
        <w:pStyle w:val="ListParagraph"/>
        <w:numPr>
          <w:ilvl w:val="0"/>
          <w:numId w:val="19"/>
        </w:numPr>
      </w:pPr>
      <w:r w:rsidRPr="007722CF">
        <w:t>Rule 1-006A: Individual Conflict of Interest Committee Membership Rule, and</w:t>
      </w:r>
    </w:p>
    <w:p w14:paraId="4AB3E79E" w14:textId="77777777" w:rsidR="00D61AD4" w:rsidRPr="007722CF" w:rsidRDefault="00D61AD4" w:rsidP="008A3027">
      <w:pPr>
        <w:pStyle w:val="ListParagraph"/>
        <w:ind w:left="1440"/>
      </w:pPr>
    </w:p>
    <w:p w14:paraId="0DE6313E" w14:textId="59626050" w:rsidR="00DC5E2E" w:rsidRDefault="00DC5E2E">
      <w:pPr>
        <w:pStyle w:val="ListParagraph"/>
        <w:numPr>
          <w:ilvl w:val="0"/>
          <w:numId w:val="19"/>
        </w:numPr>
      </w:pPr>
      <w:r w:rsidRPr="007722CF">
        <w:t>Rule 1-006B Individual Financial Conflict of Interest Non-Compliance</w:t>
      </w:r>
      <w:r w:rsidRPr="009B67B2">
        <w:t xml:space="preserve">. </w:t>
      </w:r>
    </w:p>
    <w:p w14:paraId="2E15B46E" w14:textId="77777777" w:rsidR="00457C24" w:rsidRPr="009B67B2" w:rsidRDefault="00457C24">
      <w:pPr>
        <w:pStyle w:val="ListParagraph"/>
        <w:ind w:left="1440"/>
      </w:pPr>
    </w:p>
    <w:p w14:paraId="2F6EE80E" w14:textId="77777777" w:rsidR="00D61AD4" w:rsidRDefault="00DC5E2E">
      <w:pPr>
        <w:ind w:left="1080"/>
      </w:pPr>
      <w:r w:rsidRPr="00AE2AB7">
        <w:t xml:space="preserve">Nor is any change </w:t>
      </w:r>
      <w:r w:rsidR="005D61A0" w:rsidRPr="00AE2AB7">
        <w:t xml:space="preserve">now </w:t>
      </w:r>
      <w:r w:rsidRPr="00AE2AB7">
        <w:t xml:space="preserve">being proposed to Supplemental Rule SR1-006: Health Sciences Industry Relations Policy. </w:t>
      </w:r>
    </w:p>
    <w:p w14:paraId="329C0CF8" w14:textId="36A9E97B" w:rsidR="005D61A0" w:rsidRPr="00AE2AB7" w:rsidRDefault="005D61A0">
      <w:pPr>
        <w:ind w:left="1080"/>
      </w:pPr>
      <w:r w:rsidRPr="00AE2AB7">
        <w:t xml:space="preserve">  </w:t>
      </w:r>
    </w:p>
    <w:p w14:paraId="365E9E43" w14:textId="5430635C" w:rsidR="00292174" w:rsidRPr="00D61AD4" w:rsidRDefault="005D61A0" w:rsidP="008A3027">
      <w:pPr>
        <w:ind w:left="360" w:firstLine="720"/>
        <w:rPr>
          <w:sz w:val="18"/>
          <w:szCs w:val="18"/>
        </w:rPr>
      </w:pPr>
      <w:r w:rsidRPr="00AE2AB7">
        <w:t xml:space="preserve">All </w:t>
      </w:r>
      <w:r w:rsidR="005D6FB7" w:rsidRPr="00AE2AB7">
        <w:t xml:space="preserve">are </w:t>
      </w:r>
      <w:r w:rsidRPr="00AE2AB7">
        <w:t xml:space="preserve">viewable at </w:t>
      </w:r>
      <w:r w:rsidRPr="009F3FBE">
        <w:t>https://regulations.utah.edu/info/policyList.php</w:t>
      </w:r>
    </w:p>
    <w:p w14:paraId="3E1EBBB6" w14:textId="77777777" w:rsidR="005D61A0" w:rsidRPr="00AE2AB7" w:rsidRDefault="005D61A0">
      <w:pPr>
        <w:ind w:left="1080"/>
      </w:pPr>
    </w:p>
    <w:p w14:paraId="1B596562" w14:textId="140094F6" w:rsidR="00533FB0" w:rsidRPr="00AE2AB7" w:rsidRDefault="00533FB0">
      <w:pPr>
        <w:rPr>
          <w:b/>
        </w:rPr>
      </w:pPr>
    </w:p>
    <w:p w14:paraId="74FA07C1" w14:textId="58D6ACF5" w:rsidR="00D83C2D" w:rsidRPr="00AE2AB7" w:rsidRDefault="005D6FB7" w:rsidP="008A3027">
      <w:pPr>
        <w:ind w:left="1440" w:hanging="360"/>
        <w:rPr>
          <w:u w:val="single"/>
        </w:rPr>
      </w:pPr>
      <w:r w:rsidRPr="00AE2AB7">
        <w:rPr>
          <w:b/>
          <w:i/>
        </w:rPr>
        <w:t xml:space="preserve">1. </w:t>
      </w:r>
      <w:r w:rsidR="00D83C2D" w:rsidRPr="00AE2AB7">
        <w:rPr>
          <w:b/>
          <w:i/>
        </w:rPr>
        <w:t xml:space="preserve">New Rule 1-006C: Individual </w:t>
      </w:r>
      <w:r w:rsidR="008C2C38" w:rsidRPr="00AE2AB7">
        <w:rPr>
          <w:b/>
          <w:i/>
        </w:rPr>
        <w:t xml:space="preserve">Financial </w:t>
      </w:r>
      <w:r w:rsidR="00D83C2D" w:rsidRPr="00AE2AB7">
        <w:rPr>
          <w:b/>
          <w:i/>
        </w:rPr>
        <w:t>Conflict of Interest in Research</w:t>
      </w:r>
    </w:p>
    <w:p w14:paraId="21E98B66" w14:textId="77777777" w:rsidR="00503B1D" w:rsidRPr="00BA541A" w:rsidRDefault="00503B1D">
      <w:pPr>
        <w:pStyle w:val="ListParagraph"/>
        <w:ind w:left="1080"/>
        <w:rPr>
          <w:u w:val="single"/>
        </w:rPr>
      </w:pPr>
    </w:p>
    <w:p w14:paraId="1F27E212" w14:textId="679F6851" w:rsidR="00D83C2D" w:rsidRDefault="00AE2AB7" w:rsidP="008A3027">
      <w:pPr>
        <w:pStyle w:val="ListParagraph"/>
        <w:numPr>
          <w:ilvl w:val="1"/>
          <w:numId w:val="8"/>
        </w:numPr>
        <w:ind w:left="1800"/>
      </w:pPr>
      <w:r>
        <w:t>T</w:t>
      </w:r>
      <w:r w:rsidR="00D83C2D" w:rsidRPr="00BA541A">
        <w:t xml:space="preserve">his </w:t>
      </w:r>
      <w:r>
        <w:t xml:space="preserve">new </w:t>
      </w:r>
      <w:r w:rsidR="00D83C2D" w:rsidRPr="00BA541A">
        <w:t xml:space="preserve">Rule </w:t>
      </w:r>
      <w:r>
        <w:t xml:space="preserve">will </w:t>
      </w:r>
      <w:r w:rsidR="00D83C2D" w:rsidRPr="00BA541A">
        <w:t>provide clarity and guidance regarding the COI Committee’s evaluation and management of conflicts of interest related to Research and Human Subjects Research.</w:t>
      </w:r>
    </w:p>
    <w:p w14:paraId="6971E6E8" w14:textId="77777777" w:rsidR="00D61AD4" w:rsidRPr="00BA541A" w:rsidRDefault="00D61AD4" w:rsidP="008A3027">
      <w:pPr>
        <w:pStyle w:val="ListParagraph"/>
        <w:ind w:left="1800"/>
      </w:pPr>
    </w:p>
    <w:p w14:paraId="65497C4A" w14:textId="1F9905BF" w:rsidR="00D83C2D" w:rsidRDefault="00AE2AB7" w:rsidP="008A3027">
      <w:pPr>
        <w:pStyle w:val="ListParagraph"/>
        <w:numPr>
          <w:ilvl w:val="1"/>
          <w:numId w:val="8"/>
        </w:numPr>
        <w:ind w:left="1800"/>
      </w:pPr>
      <w:r>
        <w:t>T</w:t>
      </w:r>
      <w:r w:rsidR="00D83C2D" w:rsidRPr="00BA541A">
        <w:t>he definition of Significant Financial Interest</w:t>
      </w:r>
      <w:r>
        <w:t xml:space="preserve"> will be moved from the main Policy</w:t>
      </w:r>
      <w:r w:rsidR="00D83C2D" w:rsidRPr="00BA541A">
        <w:t xml:space="preserve"> to this Rule.</w:t>
      </w:r>
    </w:p>
    <w:p w14:paraId="76D6B3F6" w14:textId="77777777" w:rsidR="006F5F79" w:rsidRPr="00BA541A" w:rsidRDefault="006F5F79">
      <w:pPr>
        <w:pStyle w:val="ListParagraph"/>
        <w:ind w:left="1440"/>
      </w:pPr>
    </w:p>
    <w:p w14:paraId="1181A7E9" w14:textId="02F11FDB" w:rsidR="00D83C2D" w:rsidRDefault="00C43370" w:rsidP="008A3027">
      <w:pPr>
        <w:ind w:left="1350"/>
        <w:rPr>
          <w:u w:val="single"/>
        </w:rPr>
      </w:pPr>
      <w:r w:rsidRPr="00BA541A">
        <w:rPr>
          <w:u w:val="single"/>
        </w:rPr>
        <w:t>Section III.A.</w:t>
      </w:r>
    </w:p>
    <w:p w14:paraId="775FCC4D" w14:textId="77777777" w:rsidR="000A40BB" w:rsidRPr="00BA541A" w:rsidRDefault="000A40BB">
      <w:pPr>
        <w:ind w:left="360" w:firstLine="720"/>
        <w:rPr>
          <w:u w:val="single"/>
        </w:rPr>
      </w:pPr>
    </w:p>
    <w:p w14:paraId="1C6974F6" w14:textId="02B80A9B" w:rsidR="00C43370" w:rsidRDefault="00AE2AB7" w:rsidP="008A3027">
      <w:pPr>
        <w:pStyle w:val="ListParagraph"/>
        <w:numPr>
          <w:ilvl w:val="1"/>
          <w:numId w:val="8"/>
        </w:numPr>
        <w:ind w:left="1800"/>
        <w:rPr>
          <w:u w:val="single"/>
        </w:rPr>
      </w:pPr>
      <w:r>
        <w:t>Will provide a description of</w:t>
      </w:r>
      <w:r w:rsidR="00C43370" w:rsidRPr="00BA541A">
        <w:t xml:space="preserve"> activities related to </w:t>
      </w:r>
      <w:r w:rsidR="00D603D3">
        <w:t>R</w:t>
      </w:r>
      <w:r w:rsidR="00C43370" w:rsidRPr="00BA541A">
        <w:t xml:space="preserve">esearch that require </w:t>
      </w:r>
      <w:r w:rsidR="008C2C38">
        <w:t xml:space="preserve">an individual to submit </w:t>
      </w:r>
      <w:r w:rsidR="00C43370" w:rsidRPr="00BA541A">
        <w:t xml:space="preserve">a </w:t>
      </w:r>
      <w:r w:rsidR="00255B87">
        <w:t>BRR Disclosure Form</w:t>
      </w:r>
      <w:r w:rsidR="00C43370" w:rsidRPr="008A3027">
        <w:t>.</w:t>
      </w:r>
    </w:p>
    <w:p w14:paraId="26D291D4" w14:textId="77777777" w:rsidR="006F5F79" w:rsidRDefault="006F5F79">
      <w:pPr>
        <w:pStyle w:val="ListParagraph"/>
        <w:ind w:left="1440"/>
        <w:rPr>
          <w:u w:val="single"/>
        </w:rPr>
      </w:pPr>
    </w:p>
    <w:p w14:paraId="3660F2F0" w14:textId="312DAB93" w:rsidR="00C43370" w:rsidRDefault="00C43370" w:rsidP="008A3027">
      <w:pPr>
        <w:ind w:left="1350"/>
        <w:rPr>
          <w:u w:val="single"/>
        </w:rPr>
      </w:pPr>
      <w:r w:rsidRPr="00BA541A">
        <w:rPr>
          <w:u w:val="single"/>
        </w:rPr>
        <w:t>Section III.B.</w:t>
      </w:r>
    </w:p>
    <w:p w14:paraId="401BEBB6" w14:textId="77777777" w:rsidR="000A40BB" w:rsidRPr="00BA541A" w:rsidRDefault="000A40BB">
      <w:pPr>
        <w:ind w:left="360" w:firstLine="720"/>
        <w:rPr>
          <w:u w:val="single"/>
        </w:rPr>
      </w:pPr>
    </w:p>
    <w:p w14:paraId="1BF1D1FD" w14:textId="2229594F" w:rsidR="00C43370" w:rsidRDefault="00AE2AB7" w:rsidP="008A3027">
      <w:pPr>
        <w:pStyle w:val="ListParagraph"/>
        <w:numPr>
          <w:ilvl w:val="1"/>
          <w:numId w:val="8"/>
        </w:numPr>
        <w:ind w:left="1800"/>
      </w:pPr>
      <w:r>
        <w:t xml:space="preserve">Will provide a description of </w:t>
      </w:r>
      <w:r w:rsidR="00C43370" w:rsidRPr="00BA541A">
        <w:t xml:space="preserve">the evaluation process for determining </w:t>
      </w:r>
      <w:r w:rsidR="00B1782C">
        <w:t>if a</w:t>
      </w:r>
      <w:r w:rsidR="00C43370" w:rsidRPr="00BA541A">
        <w:t xml:space="preserve"> Financial Relationship meet</w:t>
      </w:r>
      <w:r w:rsidR="00B1782C">
        <w:t>s</w:t>
      </w:r>
      <w:r w:rsidR="00C43370" w:rsidRPr="00BA541A">
        <w:t xml:space="preserve"> the threshol</w:t>
      </w:r>
      <w:r w:rsidR="00FF78AA">
        <w:t>d</w:t>
      </w:r>
      <w:r w:rsidR="00C43370" w:rsidRPr="00BA541A">
        <w:t xml:space="preserve"> of Significant Financial Interest </w:t>
      </w:r>
      <w:r w:rsidR="00FF78AA">
        <w:t xml:space="preserve">and </w:t>
      </w:r>
      <w:r w:rsidR="00B1782C">
        <w:t>is</w:t>
      </w:r>
      <w:r w:rsidR="005801B9">
        <w:t>, therefore,</w:t>
      </w:r>
      <w:r w:rsidR="00FF78AA">
        <w:t xml:space="preserve"> </w:t>
      </w:r>
      <w:r w:rsidR="00C43370" w:rsidRPr="00BA541A">
        <w:t xml:space="preserve">subject to </w:t>
      </w:r>
      <w:r w:rsidR="00FF78AA">
        <w:t xml:space="preserve">the </w:t>
      </w:r>
      <w:r w:rsidR="00C43370" w:rsidRPr="00BA541A">
        <w:t xml:space="preserve">review </w:t>
      </w:r>
      <w:r w:rsidR="00FF78AA">
        <w:t>of the COI Committee</w:t>
      </w:r>
      <w:r w:rsidR="00C43370" w:rsidRPr="00BA541A">
        <w:t>.</w:t>
      </w:r>
    </w:p>
    <w:p w14:paraId="033F9A83" w14:textId="77777777" w:rsidR="006F5F79" w:rsidRPr="00BA541A" w:rsidRDefault="006F5F79">
      <w:pPr>
        <w:pStyle w:val="ListParagraph"/>
        <w:ind w:left="1440"/>
      </w:pPr>
    </w:p>
    <w:p w14:paraId="307F26FA" w14:textId="0A2E7FA2" w:rsidR="00C43370" w:rsidRDefault="00C43370" w:rsidP="008A3027">
      <w:pPr>
        <w:ind w:left="1350"/>
        <w:rPr>
          <w:u w:val="single"/>
        </w:rPr>
      </w:pPr>
      <w:r w:rsidRPr="00BA541A">
        <w:rPr>
          <w:u w:val="single"/>
        </w:rPr>
        <w:t>Section III.C.</w:t>
      </w:r>
    </w:p>
    <w:p w14:paraId="34E32D83" w14:textId="77777777" w:rsidR="000A40BB" w:rsidRPr="00BA541A" w:rsidRDefault="000A40BB">
      <w:pPr>
        <w:ind w:left="360" w:firstLine="720"/>
        <w:rPr>
          <w:u w:val="single"/>
        </w:rPr>
      </w:pPr>
    </w:p>
    <w:p w14:paraId="455588F0" w14:textId="2753E1CD" w:rsidR="00C43370" w:rsidRDefault="00AE2AB7" w:rsidP="008A3027">
      <w:pPr>
        <w:pStyle w:val="ListParagraph"/>
        <w:numPr>
          <w:ilvl w:val="1"/>
          <w:numId w:val="8"/>
        </w:numPr>
        <w:ind w:left="1800"/>
      </w:pPr>
      <w:r>
        <w:t>Will provide a</w:t>
      </w:r>
      <w:r w:rsidRPr="00BA541A">
        <w:t xml:space="preserve"> </w:t>
      </w:r>
      <w:r w:rsidR="00B1782C">
        <w:t xml:space="preserve">list </w:t>
      </w:r>
      <w:r>
        <w:t xml:space="preserve">of </w:t>
      </w:r>
      <w:r w:rsidR="00B1782C">
        <w:t>potential</w:t>
      </w:r>
      <w:r w:rsidR="00C43370" w:rsidRPr="00BA541A">
        <w:t xml:space="preserve"> management strategies for identified conflicts of interest in Research.</w:t>
      </w:r>
    </w:p>
    <w:p w14:paraId="2C1335F8" w14:textId="77777777" w:rsidR="006F5F79" w:rsidRPr="00BA541A" w:rsidRDefault="006F5F79">
      <w:pPr>
        <w:pStyle w:val="ListParagraph"/>
        <w:ind w:left="1440"/>
      </w:pPr>
    </w:p>
    <w:p w14:paraId="75B5FCB1" w14:textId="0A55D542" w:rsidR="00C43370" w:rsidRDefault="00C43370" w:rsidP="008A3027">
      <w:pPr>
        <w:ind w:left="1350"/>
        <w:rPr>
          <w:u w:val="single"/>
        </w:rPr>
      </w:pPr>
      <w:r w:rsidRPr="00BA541A">
        <w:rPr>
          <w:u w:val="single"/>
        </w:rPr>
        <w:t>Section III.D.</w:t>
      </w:r>
    </w:p>
    <w:p w14:paraId="19E2F036" w14:textId="77777777" w:rsidR="000A40BB" w:rsidRPr="00BA541A" w:rsidRDefault="000A40BB">
      <w:pPr>
        <w:ind w:left="360" w:firstLine="720"/>
        <w:rPr>
          <w:u w:val="single"/>
        </w:rPr>
      </w:pPr>
    </w:p>
    <w:p w14:paraId="7F3E2D33" w14:textId="6177C363" w:rsidR="00C43370" w:rsidRDefault="00AE2AB7" w:rsidP="008A3027">
      <w:pPr>
        <w:pStyle w:val="ListParagraph"/>
        <w:numPr>
          <w:ilvl w:val="1"/>
          <w:numId w:val="8"/>
        </w:numPr>
        <w:ind w:left="1800"/>
      </w:pPr>
      <w:r>
        <w:t>Will</w:t>
      </w:r>
      <w:r w:rsidRPr="00BA541A">
        <w:t xml:space="preserve"> </w:t>
      </w:r>
      <w:r w:rsidR="00C43370" w:rsidRPr="00BA541A">
        <w:t xml:space="preserve">provide a list of </w:t>
      </w:r>
      <w:r w:rsidR="000A40BB">
        <w:t>p</w:t>
      </w:r>
      <w:r w:rsidR="00C43370" w:rsidRPr="00BA541A">
        <w:t xml:space="preserve">rohibited </w:t>
      </w:r>
      <w:r w:rsidR="000A40BB">
        <w:t>a</w:t>
      </w:r>
      <w:r w:rsidR="00C43370" w:rsidRPr="00BA541A">
        <w:t>ctivities related to Research.</w:t>
      </w:r>
      <w:r w:rsidR="000A40BB">
        <w:t xml:space="preserve"> This language </w:t>
      </w:r>
      <w:r>
        <w:t>is moved from</w:t>
      </w:r>
      <w:r w:rsidR="000A40BB">
        <w:t xml:space="preserve"> </w:t>
      </w:r>
      <w:r w:rsidR="008763FA">
        <w:t>Section III.C. of the</w:t>
      </w:r>
      <w:r w:rsidR="000A40BB">
        <w:t xml:space="preserve"> </w:t>
      </w:r>
      <w:r>
        <w:t>P</w:t>
      </w:r>
      <w:r w:rsidR="000A40BB">
        <w:t>olicy.</w:t>
      </w:r>
    </w:p>
    <w:p w14:paraId="069D0071" w14:textId="77777777" w:rsidR="006F5F79" w:rsidRPr="00BA541A" w:rsidRDefault="006F5F79">
      <w:pPr>
        <w:pStyle w:val="ListParagraph"/>
        <w:ind w:left="1440"/>
      </w:pPr>
    </w:p>
    <w:p w14:paraId="2766577D" w14:textId="3985E8A5" w:rsidR="00D83C2D" w:rsidRPr="00BA541A" w:rsidRDefault="005D6FB7" w:rsidP="008A3027">
      <w:pPr>
        <w:pStyle w:val="ListParagraph"/>
        <w:ind w:left="1440" w:hanging="360"/>
        <w:rPr>
          <w:u w:val="single"/>
        </w:rPr>
      </w:pPr>
      <w:r>
        <w:rPr>
          <w:i/>
        </w:rPr>
        <w:t>2.</w:t>
      </w:r>
      <w:r w:rsidRPr="00AE2AB7">
        <w:rPr>
          <w:b/>
          <w:i/>
        </w:rPr>
        <w:t xml:space="preserve"> </w:t>
      </w:r>
      <w:r w:rsidR="00D83C2D" w:rsidRPr="00AE2AB7">
        <w:rPr>
          <w:b/>
          <w:i/>
        </w:rPr>
        <w:t>New Rule 1-006D: Individual</w:t>
      </w:r>
      <w:r w:rsidR="008C2C38" w:rsidRPr="00AE2AB7">
        <w:rPr>
          <w:b/>
          <w:i/>
        </w:rPr>
        <w:t xml:space="preserve"> Financial</w:t>
      </w:r>
      <w:r w:rsidR="00D83C2D" w:rsidRPr="00AE2AB7">
        <w:rPr>
          <w:b/>
          <w:i/>
        </w:rPr>
        <w:t xml:space="preserve"> Conflict of Interest in Scholarly and Educational Activit</w:t>
      </w:r>
      <w:r w:rsidR="00096434" w:rsidRPr="00AE2AB7">
        <w:rPr>
          <w:b/>
          <w:i/>
        </w:rPr>
        <w:t>y</w:t>
      </w:r>
    </w:p>
    <w:p w14:paraId="5FBEBEE6" w14:textId="77777777" w:rsidR="00503B1D" w:rsidRPr="00BA541A" w:rsidRDefault="00503B1D">
      <w:pPr>
        <w:pStyle w:val="ListParagraph"/>
        <w:ind w:left="1080"/>
        <w:rPr>
          <w:u w:val="single"/>
        </w:rPr>
      </w:pPr>
    </w:p>
    <w:p w14:paraId="000C46A3" w14:textId="3DBFC006" w:rsidR="00C43370" w:rsidRDefault="00AE2AB7" w:rsidP="008A3027">
      <w:pPr>
        <w:pStyle w:val="ListParagraph"/>
        <w:numPr>
          <w:ilvl w:val="1"/>
          <w:numId w:val="8"/>
        </w:numPr>
        <w:ind w:left="1800"/>
      </w:pPr>
      <w:r>
        <w:t>T</w:t>
      </w:r>
      <w:r w:rsidR="00C43370" w:rsidRPr="00BA541A">
        <w:t xml:space="preserve">his Rule </w:t>
      </w:r>
      <w:r>
        <w:t xml:space="preserve">will </w:t>
      </w:r>
      <w:r w:rsidR="00C43370" w:rsidRPr="00BA541A">
        <w:t xml:space="preserve">provide clarity and guidance regarding the COI Committee’s evaluation and management of conflicts of interest related to </w:t>
      </w:r>
      <w:r w:rsidR="00503B1D">
        <w:t>Scholarly and Educational Activit</w:t>
      </w:r>
      <w:r w:rsidR="00096434">
        <w:t>y</w:t>
      </w:r>
      <w:r w:rsidR="00C43370" w:rsidRPr="00BA541A">
        <w:t>.</w:t>
      </w:r>
    </w:p>
    <w:p w14:paraId="0036821F" w14:textId="77777777" w:rsidR="00D61AD4" w:rsidRPr="00BA541A" w:rsidRDefault="00D61AD4" w:rsidP="008A3027">
      <w:pPr>
        <w:pStyle w:val="ListParagraph"/>
        <w:ind w:left="1800"/>
      </w:pPr>
    </w:p>
    <w:p w14:paraId="71FE9CB3" w14:textId="4C7082A6" w:rsidR="00C43370" w:rsidRDefault="00AE2AB7" w:rsidP="008A3027">
      <w:pPr>
        <w:pStyle w:val="ListParagraph"/>
        <w:numPr>
          <w:ilvl w:val="1"/>
          <w:numId w:val="8"/>
        </w:numPr>
        <w:ind w:left="1800"/>
      </w:pPr>
      <w:r>
        <w:t>T</w:t>
      </w:r>
      <w:r w:rsidR="00C43370" w:rsidRPr="00BA541A">
        <w:t xml:space="preserve">he definition of Significant Financial Interest </w:t>
      </w:r>
      <w:r>
        <w:t xml:space="preserve">is moved </w:t>
      </w:r>
      <w:r w:rsidR="00C43370" w:rsidRPr="00BA541A">
        <w:t>to this Rule</w:t>
      </w:r>
      <w:r>
        <w:t xml:space="preserve"> from the main Policy</w:t>
      </w:r>
      <w:r w:rsidR="00C43370" w:rsidRPr="00BA541A">
        <w:t>.</w:t>
      </w:r>
    </w:p>
    <w:p w14:paraId="1EF8373F" w14:textId="77777777" w:rsidR="00D603D3" w:rsidRPr="00BA541A" w:rsidRDefault="00D603D3">
      <w:pPr>
        <w:pStyle w:val="ListParagraph"/>
        <w:ind w:left="1440"/>
      </w:pPr>
    </w:p>
    <w:p w14:paraId="4FCE75CA" w14:textId="29074572" w:rsidR="00C43370" w:rsidRDefault="00C43370" w:rsidP="008A3027">
      <w:pPr>
        <w:ind w:left="1350"/>
        <w:rPr>
          <w:u w:val="single"/>
        </w:rPr>
      </w:pPr>
      <w:r w:rsidRPr="00BA541A">
        <w:rPr>
          <w:u w:val="single"/>
        </w:rPr>
        <w:t>Section III.A.</w:t>
      </w:r>
    </w:p>
    <w:p w14:paraId="16FFE67B" w14:textId="77777777" w:rsidR="00096434" w:rsidRPr="00BA541A" w:rsidRDefault="00096434">
      <w:pPr>
        <w:ind w:left="360" w:firstLine="720"/>
        <w:rPr>
          <w:u w:val="single"/>
        </w:rPr>
      </w:pPr>
    </w:p>
    <w:p w14:paraId="3E89AA1D" w14:textId="43E06859" w:rsidR="00C43370" w:rsidRDefault="00AE2AB7" w:rsidP="008A3027">
      <w:pPr>
        <w:pStyle w:val="ListParagraph"/>
        <w:numPr>
          <w:ilvl w:val="1"/>
          <w:numId w:val="8"/>
        </w:numPr>
        <w:ind w:left="1800"/>
        <w:rPr>
          <w:u w:val="single"/>
        </w:rPr>
      </w:pPr>
      <w:r>
        <w:t>Will provide a description of</w:t>
      </w:r>
      <w:r w:rsidR="00C43370" w:rsidRPr="00C45E92">
        <w:t xml:space="preserve"> activities related to </w:t>
      </w:r>
      <w:r w:rsidR="00503B1D">
        <w:t>Scholarly and Educational Activit</w:t>
      </w:r>
      <w:r w:rsidR="00096434">
        <w:t>y</w:t>
      </w:r>
      <w:r w:rsidR="00503B1D" w:rsidRPr="00C45E92">
        <w:t xml:space="preserve"> </w:t>
      </w:r>
      <w:r w:rsidR="00C43370" w:rsidRPr="00C45E92">
        <w:t xml:space="preserve">that </w:t>
      </w:r>
      <w:r w:rsidR="00EF7A95">
        <w:t xml:space="preserve">require an individual to submit </w:t>
      </w:r>
      <w:r w:rsidR="00EF7A95" w:rsidRPr="00AD1B8B">
        <w:t xml:space="preserve">a </w:t>
      </w:r>
      <w:r w:rsidR="00255B87">
        <w:t>BRR Disclosure Form</w:t>
      </w:r>
      <w:r w:rsidR="00EF7A95" w:rsidRPr="009F3FBE">
        <w:t>.</w:t>
      </w:r>
    </w:p>
    <w:p w14:paraId="66C60645" w14:textId="77777777" w:rsidR="00D603D3" w:rsidRDefault="00D603D3">
      <w:pPr>
        <w:pStyle w:val="ListParagraph"/>
        <w:ind w:left="1440"/>
        <w:rPr>
          <w:u w:val="single"/>
        </w:rPr>
      </w:pPr>
    </w:p>
    <w:p w14:paraId="424FEB4F" w14:textId="71F53015" w:rsidR="00C43370" w:rsidRDefault="00C43370" w:rsidP="008A3027">
      <w:pPr>
        <w:ind w:left="1350"/>
        <w:rPr>
          <w:u w:val="single"/>
        </w:rPr>
      </w:pPr>
      <w:r w:rsidRPr="00BA541A">
        <w:rPr>
          <w:u w:val="single"/>
        </w:rPr>
        <w:lastRenderedPageBreak/>
        <w:t>Section III.B.</w:t>
      </w:r>
    </w:p>
    <w:p w14:paraId="66428100" w14:textId="77777777" w:rsidR="00EF7A95" w:rsidRPr="00BA541A" w:rsidRDefault="00EF7A95">
      <w:pPr>
        <w:ind w:left="360" w:firstLine="720"/>
        <w:rPr>
          <w:u w:val="single"/>
        </w:rPr>
      </w:pPr>
    </w:p>
    <w:p w14:paraId="0F030833" w14:textId="249EB683" w:rsidR="00C43370" w:rsidRDefault="00AE2AB7" w:rsidP="008A3027">
      <w:pPr>
        <w:pStyle w:val="ListParagraph"/>
        <w:numPr>
          <w:ilvl w:val="1"/>
          <w:numId w:val="8"/>
        </w:numPr>
        <w:ind w:left="1800"/>
      </w:pPr>
      <w:r>
        <w:t>Will d</w:t>
      </w:r>
      <w:r w:rsidR="00C43370" w:rsidRPr="00BA541A">
        <w:t xml:space="preserve">escribe the evaluation process for determining </w:t>
      </w:r>
      <w:r w:rsidR="00EF7A95">
        <w:t>if a</w:t>
      </w:r>
      <w:r w:rsidR="00C43370" w:rsidRPr="00BA541A">
        <w:t xml:space="preserve"> Financial Relationship</w:t>
      </w:r>
      <w:r w:rsidR="00EF7A95">
        <w:t xml:space="preserve"> </w:t>
      </w:r>
      <w:r w:rsidR="00C43370" w:rsidRPr="00BA541A">
        <w:t>meet</w:t>
      </w:r>
      <w:r w:rsidR="00EF7A95">
        <w:t>s</w:t>
      </w:r>
      <w:r w:rsidR="00C43370" w:rsidRPr="00BA541A">
        <w:t xml:space="preserve"> the threshol</w:t>
      </w:r>
      <w:r w:rsidR="00EF7A95">
        <w:t>d</w:t>
      </w:r>
      <w:r w:rsidR="00C43370" w:rsidRPr="00BA541A">
        <w:t xml:space="preserve"> of Significant Financial Interest</w:t>
      </w:r>
      <w:r w:rsidR="00EF7A95">
        <w:t xml:space="preserve"> and is</w:t>
      </w:r>
      <w:r w:rsidR="005801B9">
        <w:t>, therefore,</w:t>
      </w:r>
      <w:r w:rsidR="00C43370" w:rsidRPr="00BA541A">
        <w:t xml:space="preserve"> subject to </w:t>
      </w:r>
      <w:r w:rsidR="00EF7A95">
        <w:t xml:space="preserve">the </w:t>
      </w:r>
      <w:r w:rsidR="00C43370" w:rsidRPr="00BA541A">
        <w:t xml:space="preserve">review </w:t>
      </w:r>
      <w:r w:rsidR="00EF7A95">
        <w:t>of the COI Committee</w:t>
      </w:r>
      <w:r w:rsidR="00C43370" w:rsidRPr="00BA541A">
        <w:t>.</w:t>
      </w:r>
    </w:p>
    <w:p w14:paraId="147A1C32" w14:textId="77777777" w:rsidR="00D603D3" w:rsidRPr="00BA541A" w:rsidRDefault="00D603D3">
      <w:pPr>
        <w:pStyle w:val="ListParagraph"/>
        <w:ind w:left="1440"/>
      </w:pPr>
    </w:p>
    <w:p w14:paraId="025E3F7C" w14:textId="40427118" w:rsidR="00C43370" w:rsidRDefault="00C43370" w:rsidP="008A3027">
      <w:pPr>
        <w:ind w:left="1350"/>
        <w:rPr>
          <w:u w:val="single"/>
        </w:rPr>
      </w:pPr>
      <w:r w:rsidRPr="00BA541A">
        <w:rPr>
          <w:u w:val="single"/>
        </w:rPr>
        <w:t>Section III.C.</w:t>
      </w:r>
    </w:p>
    <w:p w14:paraId="4FF98747" w14:textId="77777777" w:rsidR="005801B9" w:rsidRPr="00BA541A" w:rsidRDefault="005801B9">
      <w:pPr>
        <w:ind w:left="360" w:firstLine="720"/>
        <w:rPr>
          <w:u w:val="single"/>
        </w:rPr>
      </w:pPr>
    </w:p>
    <w:p w14:paraId="74B618F0" w14:textId="77CC79F5" w:rsidR="00C43370" w:rsidRDefault="00C43370" w:rsidP="008A3027">
      <w:pPr>
        <w:pStyle w:val="ListParagraph"/>
        <w:numPr>
          <w:ilvl w:val="1"/>
          <w:numId w:val="8"/>
        </w:numPr>
        <w:ind w:left="1800"/>
        <w:rPr>
          <w:u w:val="single"/>
        </w:rPr>
      </w:pPr>
      <w:r w:rsidRPr="009F3FBE">
        <w:t>W</w:t>
      </w:r>
      <w:r w:rsidR="00AE2AB7" w:rsidRPr="009F3FBE">
        <w:t>ill</w:t>
      </w:r>
      <w:r w:rsidRPr="009F3FBE">
        <w:t xml:space="preserve"> </w:t>
      </w:r>
      <w:r w:rsidR="005801B9" w:rsidRPr="009F3FBE">
        <w:t>list potential</w:t>
      </w:r>
      <w:r w:rsidRPr="009F3FBE">
        <w:t xml:space="preserve"> management strategies for identified conflicts of interest in </w:t>
      </w:r>
      <w:r w:rsidR="00D603D3">
        <w:t>Scholarly and Educational Activit</w:t>
      </w:r>
      <w:r w:rsidR="005801B9">
        <w:t>y</w:t>
      </w:r>
      <w:r>
        <w:rPr>
          <w:u w:val="single"/>
        </w:rPr>
        <w:t>.</w:t>
      </w:r>
    </w:p>
    <w:p w14:paraId="697F8E9F" w14:textId="77777777" w:rsidR="00D603D3" w:rsidRDefault="00D603D3">
      <w:pPr>
        <w:pStyle w:val="ListParagraph"/>
        <w:ind w:left="1440"/>
        <w:rPr>
          <w:u w:val="single"/>
        </w:rPr>
      </w:pPr>
    </w:p>
    <w:p w14:paraId="08E7A56E" w14:textId="63097B35" w:rsidR="00C43370" w:rsidRDefault="00C43370" w:rsidP="008A3027">
      <w:pPr>
        <w:ind w:left="1350"/>
        <w:rPr>
          <w:u w:val="single"/>
        </w:rPr>
      </w:pPr>
      <w:r w:rsidRPr="00BA541A">
        <w:rPr>
          <w:u w:val="single"/>
        </w:rPr>
        <w:t>Section III.D.</w:t>
      </w:r>
    </w:p>
    <w:p w14:paraId="7DC887CD" w14:textId="77777777" w:rsidR="005801B9" w:rsidRPr="00BA541A" w:rsidRDefault="005801B9">
      <w:pPr>
        <w:ind w:left="360" w:firstLine="720"/>
        <w:rPr>
          <w:u w:val="single"/>
        </w:rPr>
      </w:pPr>
    </w:p>
    <w:p w14:paraId="37B70A52" w14:textId="7187302C" w:rsidR="005801B9" w:rsidRDefault="005801B9" w:rsidP="008A3027">
      <w:pPr>
        <w:pStyle w:val="ListParagraph"/>
        <w:numPr>
          <w:ilvl w:val="1"/>
          <w:numId w:val="8"/>
        </w:numPr>
        <w:ind w:left="1800"/>
      </w:pPr>
      <w:r w:rsidRPr="00AD1B8B">
        <w:t>W</w:t>
      </w:r>
      <w:r w:rsidR="00AE2AB7">
        <w:t>ill</w:t>
      </w:r>
      <w:r w:rsidRPr="00AD1B8B">
        <w:t xml:space="preserve"> provide a list of </w:t>
      </w:r>
      <w:r>
        <w:t>p</w:t>
      </w:r>
      <w:r w:rsidRPr="00AD1B8B">
        <w:t xml:space="preserve">rohibited </w:t>
      </w:r>
      <w:r>
        <w:t>a</w:t>
      </w:r>
      <w:r w:rsidRPr="00AD1B8B">
        <w:t>ctivities related to Research.</w:t>
      </w:r>
      <w:r>
        <w:t xml:space="preserve"> This language </w:t>
      </w:r>
      <w:r w:rsidR="00AE2AB7">
        <w:t>is moved from</w:t>
      </w:r>
      <w:r>
        <w:t xml:space="preserve"> Section III.C. of the </w:t>
      </w:r>
      <w:r w:rsidR="00AE2AB7">
        <w:t>main P</w:t>
      </w:r>
      <w:r>
        <w:t>olicy.</w:t>
      </w:r>
    </w:p>
    <w:p w14:paraId="5BE28010" w14:textId="77777777" w:rsidR="00AE2AB7" w:rsidRDefault="00AE2AB7">
      <w:pPr>
        <w:pStyle w:val="ListParagraph"/>
        <w:ind w:left="1440"/>
      </w:pPr>
    </w:p>
    <w:p w14:paraId="70BD7B6E" w14:textId="77777777" w:rsidR="00D603D3" w:rsidRDefault="00D603D3">
      <w:pPr>
        <w:pStyle w:val="ListParagraph"/>
        <w:ind w:left="1440"/>
        <w:rPr>
          <w:u w:val="single"/>
        </w:rPr>
      </w:pPr>
    </w:p>
    <w:p w14:paraId="0C113873" w14:textId="48D6B7DC" w:rsidR="00D83C2D" w:rsidRPr="00AE2AB7" w:rsidRDefault="005D6FB7" w:rsidP="008A3027">
      <w:pPr>
        <w:pStyle w:val="ListParagraph"/>
        <w:ind w:left="1440" w:hanging="360"/>
        <w:rPr>
          <w:b/>
          <w:u w:val="single"/>
        </w:rPr>
      </w:pPr>
      <w:r w:rsidRPr="00AE2AB7">
        <w:rPr>
          <w:b/>
          <w:i/>
        </w:rPr>
        <w:t xml:space="preserve">3. </w:t>
      </w:r>
      <w:r w:rsidR="00D83C2D" w:rsidRPr="00AE2AB7">
        <w:rPr>
          <w:b/>
          <w:i/>
        </w:rPr>
        <w:t>New Rule 1-006E: Individual</w:t>
      </w:r>
      <w:r w:rsidR="008C2C38" w:rsidRPr="00AE2AB7">
        <w:rPr>
          <w:b/>
          <w:i/>
        </w:rPr>
        <w:t xml:space="preserve"> Financial</w:t>
      </w:r>
      <w:r w:rsidR="00D83C2D" w:rsidRPr="00AE2AB7">
        <w:rPr>
          <w:b/>
          <w:i/>
        </w:rPr>
        <w:t xml:space="preserve"> Conflict of Interest in Transactions</w:t>
      </w:r>
    </w:p>
    <w:p w14:paraId="02FC59A0" w14:textId="77777777" w:rsidR="00D603D3" w:rsidRPr="00BA541A" w:rsidRDefault="00D603D3">
      <w:pPr>
        <w:pStyle w:val="ListParagraph"/>
        <w:ind w:left="1080"/>
        <w:rPr>
          <w:u w:val="single"/>
        </w:rPr>
      </w:pPr>
    </w:p>
    <w:p w14:paraId="301402EB" w14:textId="0E595050" w:rsidR="006F5F79" w:rsidRDefault="00AE2AB7" w:rsidP="008A3027">
      <w:pPr>
        <w:pStyle w:val="ListParagraph"/>
        <w:numPr>
          <w:ilvl w:val="1"/>
          <w:numId w:val="8"/>
        </w:numPr>
        <w:ind w:left="1800"/>
      </w:pPr>
      <w:r>
        <w:t>T</w:t>
      </w:r>
      <w:r w:rsidR="006F5F79" w:rsidRPr="00BA541A">
        <w:t xml:space="preserve">his Rule </w:t>
      </w:r>
      <w:r>
        <w:t xml:space="preserve">will </w:t>
      </w:r>
      <w:r w:rsidR="006F5F79" w:rsidRPr="00BA541A">
        <w:t xml:space="preserve">provide clarity and guidance regarding the COI Committee’s evaluation and management of conflicts of interest related to </w:t>
      </w:r>
      <w:r w:rsidR="00D603D3" w:rsidRPr="00BA541A">
        <w:t>Transactions</w:t>
      </w:r>
      <w:r w:rsidR="006F5F79" w:rsidRPr="00BA541A">
        <w:t>.</w:t>
      </w:r>
    </w:p>
    <w:p w14:paraId="136AB5C0" w14:textId="77777777" w:rsidR="00C82FA4" w:rsidRPr="00BA541A" w:rsidRDefault="00C82FA4" w:rsidP="008A3027">
      <w:pPr>
        <w:pStyle w:val="ListParagraph"/>
        <w:ind w:left="1800"/>
      </w:pPr>
    </w:p>
    <w:p w14:paraId="0AC0AF57" w14:textId="22ADEC44" w:rsidR="006F5F79" w:rsidRPr="00BA541A" w:rsidRDefault="00AE2AB7" w:rsidP="008A3027">
      <w:pPr>
        <w:pStyle w:val="ListParagraph"/>
        <w:numPr>
          <w:ilvl w:val="1"/>
          <w:numId w:val="8"/>
        </w:numPr>
        <w:ind w:left="1800"/>
      </w:pPr>
      <w:r w:rsidRPr="00BA541A">
        <w:t>W</w:t>
      </w:r>
      <w:r>
        <w:t xml:space="preserve">ill </w:t>
      </w:r>
      <w:r w:rsidR="00D603D3" w:rsidRPr="00BA541A">
        <w:t>provide</w:t>
      </w:r>
      <w:r w:rsidR="006F5F79" w:rsidRPr="00BA541A">
        <w:t xml:space="preserve"> </w:t>
      </w:r>
      <w:r w:rsidR="00D603D3" w:rsidRPr="00BA541A">
        <w:t>a</w:t>
      </w:r>
      <w:r w:rsidR="006F5F79" w:rsidRPr="00BA541A">
        <w:t xml:space="preserve"> definition of </w:t>
      </w:r>
      <w:r w:rsidR="00D603D3" w:rsidRPr="00BA541A">
        <w:t>Substantial</w:t>
      </w:r>
      <w:r w:rsidR="006F5F79" w:rsidRPr="00BA541A">
        <w:t xml:space="preserve"> Interest</w:t>
      </w:r>
      <w:r w:rsidR="00D603D3" w:rsidRPr="00BA541A">
        <w:t xml:space="preserve"> based on thresholds defined in the Ethics Act</w:t>
      </w:r>
      <w:r w:rsidR="006F5F79" w:rsidRPr="00BA541A">
        <w:t>.</w:t>
      </w:r>
    </w:p>
    <w:p w14:paraId="22B0F152" w14:textId="77777777" w:rsidR="00D603D3" w:rsidRDefault="00D603D3">
      <w:pPr>
        <w:pStyle w:val="ListParagraph"/>
        <w:ind w:left="1440"/>
        <w:rPr>
          <w:u w:val="single"/>
        </w:rPr>
      </w:pPr>
    </w:p>
    <w:p w14:paraId="1D135867" w14:textId="0E8A1710" w:rsidR="006F5F79" w:rsidRDefault="006F5F79" w:rsidP="008A3027">
      <w:pPr>
        <w:ind w:left="1350"/>
        <w:rPr>
          <w:u w:val="single"/>
        </w:rPr>
      </w:pPr>
      <w:r w:rsidRPr="00BA541A">
        <w:rPr>
          <w:u w:val="single"/>
        </w:rPr>
        <w:t>Section III.A.</w:t>
      </w:r>
    </w:p>
    <w:p w14:paraId="62A3836C" w14:textId="77777777" w:rsidR="00C82FA4" w:rsidRPr="00BA541A" w:rsidRDefault="00C82FA4" w:rsidP="008A3027">
      <w:pPr>
        <w:ind w:left="1350"/>
        <w:rPr>
          <w:u w:val="single"/>
        </w:rPr>
      </w:pPr>
    </w:p>
    <w:p w14:paraId="0A3318F3" w14:textId="694E4385" w:rsidR="006F5F79" w:rsidRDefault="00D12B16" w:rsidP="008A3027">
      <w:pPr>
        <w:pStyle w:val="ListParagraph"/>
        <w:numPr>
          <w:ilvl w:val="1"/>
          <w:numId w:val="8"/>
        </w:numPr>
        <w:ind w:left="1800"/>
        <w:rPr>
          <w:u w:val="single"/>
        </w:rPr>
      </w:pPr>
      <w:r w:rsidRPr="00C45E92">
        <w:t>W</w:t>
      </w:r>
      <w:r>
        <w:t xml:space="preserve">ill </w:t>
      </w:r>
      <w:r w:rsidR="006F5F79" w:rsidRPr="00C45E92">
        <w:t xml:space="preserve">describe activities related to </w:t>
      </w:r>
      <w:r w:rsidR="00D603D3" w:rsidRPr="009F3FBE">
        <w:t>Transactions</w:t>
      </w:r>
      <w:r w:rsidR="00D603D3" w:rsidRPr="00C45E92">
        <w:t xml:space="preserve"> </w:t>
      </w:r>
      <w:r w:rsidR="006F5F79" w:rsidRPr="00C45E92">
        <w:t>that require a</w:t>
      </w:r>
      <w:r w:rsidR="005801B9">
        <w:t>n individual to submit a</w:t>
      </w:r>
      <w:r w:rsidR="006F5F79" w:rsidRPr="00C45E92">
        <w:t xml:space="preserve"> </w:t>
      </w:r>
      <w:r w:rsidR="00255B87">
        <w:t>BRR Disclosure Form</w:t>
      </w:r>
      <w:r w:rsidR="006F5F79">
        <w:rPr>
          <w:u w:val="single"/>
        </w:rPr>
        <w:t>.</w:t>
      </w:r>
    </w:p>
    <w:p w14:paraId="044B59E2" w14:textId="77777777" w:rsidR="00D603D3" w:rsidRDefault="00D603D3">
      <w:pPr>
        <w:pStyle w:val="ListParagraph"/>
        <w:ind w:left="1440"/>
        <w:rPr>
          <w:u w:val="single"/>
        </w:rPr>
      </w:pPr>
    </w:p>
    <w:p w14:paraId="6550D839" w14:textId="20C7FC60" w:rsidR="006F5F79" w:rsidRDefault="006F5F79" w:rsidP="008A3027">
      <w:pPr>
        <w:ind w:left="1350"/>
        <w:rPr>
          <w:u w:val="single"/>
        </w:rPr>
      </w:pPr>
      <w:r w:rsidRPr="00BA541A">
        <w:rPr>
          <w:u w:val="single"/>
        </w:rPr>
        <w:t>Section III.B.</w:t>
      </w:r>
    </w:p>
    <w:p w14:paraId="3329B190" w14:textId="77777777" w:rsidR="005801B9" w:rsidRPr="00BA541A" w:rsidRDefault="005801B9">
      <w:pPr>
        <w:ind w:left="360" w:firstLine="720"/>
        <w:rPr>
          <w:u w:val="single"/>
        </w:rPr>
      </w:pPr>
    </w:p>
    <w:p w14:paraId="6983FA84" w14:textId="0E65B21E" w:rsidR="006F5F79" w:rsidRPr="00BA541A" w:rsidRDefault="00D12B16" w:rsidP="008A3027">
      <w:pPr>
        <w:pStyle w:val="ListParagraph"/>
        <w:numPr>
          <w:ilvl w:val="1"/>
          <w:numId w:val="8"/>
        </w:numPr>
        <w:ind w:left="1800"/>
      </w:pPr>
      <w:r w:rsidRPr="00BA541A">
        <w:t>W</w:t>
      </w:r>
      <w:r>
        <w:t xml:space="preserve">ill </w:t>
      </w:r>
      <w:r w:rsidR="006F5F79" w:rsidRPr="00BA541A">
        <w:t xml:space="preserve">describe the evaluation process for determining </w:t>
      </w:r>
      <w:r w:rsidR="005801B9">
        <w:t>if a</w:t>
      </w:r>
      <w:r w:rsidR="006F5F79" w:rsidRPr="00BA541A">
        <w:t xml:space="preserve"> Financial Relationship meet</w:t>
      </w:r>
      <w:r w:rsidR="005801B9">
        <w:t>s</w:t>
      </w:r>
      <w:r w:rsidR="006F5F79" w:rsidRPr="00BA541A">
        <w:t xml:space="preserve"> the threshol</w:t>
      </w:r>
      <w:r w:rsidR="005801B9">
        <w:t>d</w:t>
      </w:r>
      <w:r w:rsidR="006F5F79" w:rsidRPr="00BA541A">
        <w:t xml:space="preserve"> of </w:t>
      </w:r>
      <w:r w:rsidR="00D603D3" w:rsidRPr="00BA541A">
        <w:t>Substantial</w:t>
      </w:r>
      <w:r w:rsidR="006F5F79" w:rsidRPr="00BA541A">
        <w:t xml:space="preserve"> Interest </w:t>
      </w:r>
      <w:r w:rsidR="005801B9">
        <w:t xml:space="preserve">and is, therefore, </w:t>
      </w:r>
      <w:r w:rsidR="006F5F79" w:rsidRPr="00BA541A">
        <w:t xml:space="preserve">subject to </w:t>
      </w:r>
      <w:r w:rsidR="005801B9">
        <w:t xml:space="preserve">the </w:t>
      </w:r>
      <w:r w:rsidR="006F5F79" w:rsidRPr="00BA541A">
        <w:t xml:space="preserve">review </w:t>
      </w:r>
      <w:r w:rsidR="005801B9">
        <w:t>of the COI Committee</w:t>
      </w:r>
      <w:r w:rsidR="006F5F79" w:rsidRPr="00BA541A">
        <w:t>.</w:t>
      </w:r>
    </w:p>
    <w:p w14:paraId="64BB8434" w14:textId="77777777" w:rsidR="00D603D3" w:rsidRDefault="00D603D3">
      <w:pPr>
        <w:pStyle w:val="ListParagraph"/>
        <w:ind w:left="1440"/>
        <w:rPr>
          <w:u w:val="single"/>
        </w:rPr>
      </w:pPr>
    </w:p>
    <w:p w14:paraId="072E84CE" w14:textId="52A2A7BA" w:rsidR="006F5F79" w:rsidRDefault="006F5F79" w:rsidP="008A3027">
      <w:pPr>
        <w:ind w:left="1350"/>
        <w:rPr>
          <w:u w:val="single"/>
        </w:rPr>
      </w:pPr>
      <w:r w:rsidRPr="00BA541A">
        <w:rPr>
          <w:u w:val="single"/>
        </w:rPr>
        <w:t>Section III.C.</w:t>
      </w:r>
    </w:p>
    <w:p w14:paraId="450977D1" w14:textId="77777777" w:rsidR="005801B9" w:rsidRPr="00BA541A" w:rsidRDefault="005801B9">
      <w:pPr>
        <w:ind w:left="360" w:firstLine="720"/>
        <w:rPr>
          <w:u w:val="single"/>
        </w:rPr>
      </w:pPr>
    </w:p>
    <w:p w14:paraId="1EA98710" w14:textId="6E6EED61" w:rsidR="006F5F79" w:rsidRPr="00BA541A" w:rsidRDefault="006F5F79" w:rsidP="008A3027">
      <w:pPr>
        <w:pStyle w:val="ListParagraph"/>
        <w:numPr>
          <w:ilvl w:val="1"/>
          <w:numId w:val="8"/>
        </w:numPr>
        <w:ind w:left="1800"/>
      </w:pPr>
      <w:r w:rsidRPr="00BA541A">
        <w:t>W</w:t>
      </w:r>
      <w:r w:rsidR="00D12B16">
        <w:t>ill provide a</w:t>
      </w:r>
      <w:r w:rsidRPr="00BA541A">
        <w:t xml:space="preserve"> </w:t>
      </w:r>
      <w:r w:rsidR="005801B9">
        <w:t xml:space="preserve">list </w:t>
      </w:r>
      <w:r w:rsidR="00D12B16">
        <w:t xml:space="preserve">of </w:t>
      </w:r>
      <w:r w:rsidR="005801B9">
        <w:t>potential</w:t>
      </w:r>
      <w:r w:rsidRPr="00BA541A">
        <w:t xml:space="preserve"> management strategies for identified conflicts of interest in </w:t>
      </w:r>
      <w:r w:rsidR="00D603D3" w:rsidRPr="00BA541A">
        <w:t>Transactions</w:t>
      </w:r>
      <w:r w:rsidRPr="00BA541A">
        <w:t>.</w:t>
      </w:r>
    </w:p>
    <w:p w14:paraId="23E13EA2" w14:textId="77777777" w:rsidR="00D603D3" w:rsidRDefault="00D603D3">
      <w:pPr>
        <w:pStyle w:val="ListParagraph"/>
        <w:ind w:left="1440"/>
        <w:rPr>
          <w:u w:val="single"/>
        </w:rPr>
      </w:pPr>
    </w:p>
    <w:p w14:paraId="68AF3B70" w14:textId="17466053" w:rsidR="006F5F79" w:rsidRDefault="006F5F79" w:rsidP="008A3027">
      <w:pPr>
        <w:ind w:left="1350"/>
        <w:rPr>
          <w:u w:val="single"/>
        </w:rPr>
      </w:pPr>
      <w:r w:rsidRPr="00BA541A">
        <w:rPr>
          <w:u w:val="single"/>
        </w:rPr>
        <w:t>Section III.D.</w:t>
      </w:r>
    </w:p>
    <w:p w14:paraId="01EA0A00" w14:textId="77777777" w:rsidR="005801B9" w:rsidRPr="00BA541A" w:rsidRDefault="005801B9">
      <w:pPr>
        <w:ind w:left="360" w:firstLine="720"/>
        <w:rPr>
          <w:u w:val="single"/>
        </w:rPr>
      </w:pPr>
    </w:p>
    <w:p w14:paraId="10B64F40" w14:textId="2A508760" w:rsidR="005801B9" w:rsidRDefault="005801B9" w:rsidP="008A3027">
      <w:pPr>
        <w:pStyle w:val="ListParagraph"/>
        <w:numPr>
          <w:ilvl w:val="1"/>
          <w:numId w:val="8"/>
        </w:numPr>
        <w:ind w:left="1800"/>
      </w:pPr>
      <w:r w:rsidRPr="00AD1B8B">
        <w:t>W</w:t>
      </w:r>
      <w:r w:rsidR="00D12B16">
        <w:t>ill</w:t>
      </w:r>
      <w:r w:rsidRPr="00AD1B8B">
        <w:t xml:space="preserve"> provide a list of </w:t>
      </w:r>
      <w:r>
        <w:t>p</w:t>
      </w:r>
      <w:r w:rsidRPr="00AD1B8B">
        <w:t xml:space="preserve">rohibited </w:t>
      </w:r>
      <w:r>
        <w:t>a</w:t>
      </w:r>
      <w:r w:rsidRPr="00AD1B8B">
        <w:t>ctivities related to Research.</w:t>
      </w:r>
      <w:r>
        <w:t xml:space="preserve"> Most of this language </w:t>
      </w:r>
      <w:r w:rsidR="00D12B16">
        <w:t>is moved from</w:t>
      </w:r>
      <w:r>
        <w:t xml:space="preserve"> Section III.C. of the </w:t>
      </w:r>
      <w:r w:rsidR="00D12B16">
        <w:t>main P</w:t>
      </w:r>
      <w:r>
        <w:t>olicy.</w:t>
      </w:r>
    </w:p>
    <w:p w14:paraId="0162BE0B" w14:textId="77777777" w:rsidR="00D12B16" w:rsidRDefault="00D12B16">
      <w:pPr>
        <w:pStyle w:val="ListParagraph"/>
        <w:ind w:left="1080"/>
        <w:rPr>
          <w:b/>
          <w:i/>
        </w:rPr>
      </w:pPr>
    </w:p>
    <w:p w14:paraId="083E4066" w14:textId="4F52D8BC" w:rsidR="005D6FB7" w:rsidRDefault="005D6FB7">
      <w:pPr>
        <w:pStyle w:val="ListParagraph"/>
        <w:numPr>
          <w:ilvl w:val="0"/>
          <w:numId w:val="8"/>
        </w:numPr>
        <w:rPr>
          <w:b/>
          <w:i/>
        </w:rPr>
      </w:pPr>
      <w:r w:rsidRPr="0051773F">
        <w:rPr>
          <w:b/>
          <w:i/>
        </w:rPr>
        <w:lastRenderedPageBreak/>
        <w:t xml:space="preserve">Changes to </w:t>
      </w:r>
      <w:r>
        <w:rPr>
          <w:b/>
          <w:i/>
        </w:rPr>
        <w:t xml:space="preserve">University </w:t>
      </w:r>
      <w:r w:rsidRPr="0051773F">
        <w:rPr>
          <w:b/>
          <w:i/>
        </w:rPr>
        <w:t>Procedure 1-006</w:t>
      </w:r>
    </w:p>
    <w:p w14:paraId="57394479" w14:textId="77777777" w:rsidR="005D6FB7" w:rsidRDefault="005D6FB7">
      <w:pPr>
        <w:pStyle w:val="ListParagraph"/>
        <w:rPr>
          <w:b/>
          <w:i/>
        </w:rPr>
      </w:pPr>
    </w:p>
    <w:p w14:paraId="4B04B15F" w14:textId="0846999F" w:rsidR="005D6FB7" w:rsidRDefault="00D12B16">
      <w:pPr>
        <w:pStyle w:val="ListParagraph"/>
        <w:numPr>
          <w:ilvl w:val="0"/>
          <w:numId w:val="7"/>
        </w:numPr>
        <w:ind w:left="1440"/>
      </w:pPr>
      <w:r>
        <w:t>Will change</w:t>
      </w:r>
      <w:r w:rsidR="005D6FB7">
        <w:t xml:space="preserve"> the title to “Procedure 1-006: Reviewing Individual Conflict of Interest </w:t>
      </w:r>
      <w:r w:rsidR="00255B87">
        <w:t>BRR Disclosure Form</w:t>
      </w:r>
      <w:r w:rsidR="005D6FB7">
        <w:t>s.”</w:t>
      </w:r>
    </w:p>
    <w:p w14:paraId="17800F94" w14:textId="77777777" w:rsidR="00C82FA4" w:rsidRPr="002945E6" w:rsidRDefault="00C82FA4" w:rsidP="008A3027">
      <w:pPr>
        <w:pStyle w:val="ListParagraph"/>
        <w:ind w:left="1440"/>
      </w:pPr>
    </w:p>
    <w:p w14:paraId="221CF1D3" w14:textId="065C397A" w:rsidR="005D6FB7" w:rsidRDefault="00D12B16">
      <w:pPr>
        <w:pStyle w:val="ListParagraph"/>
        <w:numPr>
          <w:ilvl w:val="0"/>
          <w:numId w:val="7"/>
        </w:numPr>
        <w:ind w:left="1440"/>
      </w:pPr>
      <w:r>
        <w:t xml:space="preserve">Will </w:t>
      </w:r>
      <w:r w:rsidR="005D6FB7">
        <w:t xml:space="preserve">update the name of the Center for Technology &amp; Venture Commercialization. </w:t>
      </w:r>
    </w:p>
    <w:p w14:paraId="563E0C7F" w14:textId="0447116F" w:rsidR="00292174" w:rsidRDefault="00D014EB">
      <w:pPr>
        <w:tabs>
          <w:tab w:val="left" w:pos="5590"/>
        </w:tabs>
      </w:pPr>
      <w:r>
        <w:tab/>
      </w:r>
    </w:p>
    <w:p w14:paraId="2E0B0FF7" w14:textId="77777777" w:rsidR="00715930" w:rsidRPr="00B06960" w:rsidRDefault="00715930">
      <w:pPr>
        <w:pStyle w:val="ListParagraph"/>
        <w:numPr>
          <w:ilvl w:val="0"/>
          <w:numId w:val="1"/>
        </w:numPr>
        <w:rPr>
          <w:b/>
        </w:rPr>
      </w:pPr>
      <w:r w:rsidRPr="00B06960">
        <w:rPr>
          <w:b/>
        </w:rPr>
        <w:t xml:space="preserve">Proposal Development Process – Consultation </w:t>
      </w:r>
    </w:p>
    <w:p w14:paraId="633CC980" w14:textId="3BA5BF5A" w:rsidR="00715930" w:rsidRDefault="00715930"/>
    <w:p w14:paraId="12431B6F" w14:textId="77777777" w:rsidR="00F31015" w:rsidRDefault="00F31015">
      <w:r>
        <w:t>The proposal was developed by a revision team consisting of:</w:t>
      </w:r>
    </w:p>
    <w:p w14:paraId="5732F115" w14:textId="6712FD53" w:rsidR="00F31015" w:rsidRDefault="00F31015"/>
    <w:p w14:paraId="3280C016" w14:textId="26D205E6" w:rsidR="00F31015" w:rsidRDefault="00F31015">
      <w:r>
        <w:tab/>
        <w:t xml:space="preserve">Marc Rinehart, </w:t>
      </w:r>
      <w:r w:rsidR="001474CA">
        <w:t xml:space="preserve">Director/Officer, </w:t>
      </w:r>
      <w:r>
        <w:t>Conflict of Interest Office</w:t>
      </w:r>
    </w:p>
    <w:p w14:paraId="6886B1B7" w14:textId="1E02C3A4" w:rsidR="00F31015" w:rsidRDefault="00F31015">
      <w:r>
        <w:tab/>
        <w:t>Emily Ostrander, Associate Director, Conflict of Interest Office</w:t>
      </w:r>
    </w:p>
    <w:p w14:paraId="290FB158" w14:textId="6A325324" w:rsidR="00F31015" w:rsidRDefault="00F31015">
      <w:pPr>
        <w:ind w:left="1080" w:hanging="360"/>
      </w:pPr>
      <w:r>
        <w:t xml:space="preserve">Hailey Ritchie, </w:t>
      </w:r>
      <w:r w:rsidR="00B7737D">
        <w:t xml:space="preserve">Associate General Counsel, </w:t>
      </w:r>
      <w:r>
        <w:t>Office of General Counsel</w:t>
      </w:r>
    </w:p>
    <w:p w14:paraId="777DAE74" w14:textId="77777777" w:rsidR="00F31015" w:rsidRDefault="00F31015">
      <w:r>
        <w:tab/>
      </w:r>
    </w:p>
    <w:p w14:paraId="7884F772" w14:textId="743B7DAE" w:rsidR="00084991" w:rsidRDefault="00F31015">
      <w:r>
        <w:t xml:space="preserve">The proposal was presented to the Individual Conflict of Interest Committee on May 21, 2019.  The policy draft was also discussed with </w:t>
      </w:r>
      <w:r w:rsidR="00084991">
        <w:t>the following individuals:</w:t>
      </w:r>
    </w:p>
    <w:p w14:paraId="29517479" w14:textId="77777777" w:rsidR="000A2A36" w:rsidRDefault="000A2A36"/>
    <w:p w14:paraId="2EE905E8" w14:textId="2F89255A" w:rsidR="00B05B4F" w:rsidRDefault="00F31015">
      <w:pPr>
        <w:pStyle w:val="ListParagraph"/>
        <w:numPr>
          <w:ilvl w:val="0"/>
          <w:numId w:val="21"/>
        </w:numPr>
      </w:pPr>
      <w:r>
        <w:t>Dr. Harriet Hopf</w:t>
      </w:r>
      <w:r w:rsidR="003F2BFC">
        <w:t xml:space="preserve"> (Interim AVP for </w:t>
      </w:r>
      <w:r w:rsidR="00B05B4F">
        <w:t>Academic Affairs)</w:t>
      </w:r>
    </w:p>
    <w:p w14:paraId="3B6AAD63" w14:textId="3DB867AF" w:rsidR="00B05B4F" w:rsidRDefault="00B05B4F">
      <w:pPr>
        <w:pStyle w:val="ListParagraph"/>
        <w:numPr>
          <w:ilvl w:val="0"/>
          <w:numId w:val="21"/>
        </w:numPr>
      </w:pPr>
      <w:r>
        <w:t xml:space="preserve">Dr. Sarah Projansky (AVP for Academic </w:t>
      </w:r>
      <w:r w:rsidR="00136AC5">
        <w:t>Affairs</w:t>
      </w:r>
      <w:r>
        <w:t>)</w:t>
      </w:r>
    </w:p>
    <w:p w14:paraId="4CEC72EB" w14:textId="387B941A" w:rsidR="00B05B4F" w:rsidRDefault="00B05B4F">
      <w:pPr>
        <w:pStyle w:val="ListParagraph"/>
        <w:numPr>
          <w:ilvl w:val="0"/>
          <w:numId w:val="21"/>
        </w:numPr>
      </w:pPr>
      <w:r>
        <w:t xml:space="preserve">Dr. Robert Fujinami (AVP for </w:t>
      </w:r>
      <w:r w:rsidR="00136AC5">
        <w:t>Education</w:t>
      </w:r>
      <w:r>
        <w:t xml:space="preserve"> and Faculty Development)</w:t>
      </w:r>
    </w:p>
    <w:p w14:paraId="36DCFA3B" w14:textId="1B15B4D8" w:rsidR="00B05B4F" w:rsidRDefault="00F31015">
      <w:pPr>
        <w:pStyle w:val="ListParagraph"/>
        <w:numPr>
          <w:ilvl w:val="0"/>
          <w:numId w:val="21"/>
        </w:numPr>
      </w:pPr>
      <w:r>
        <w:t>Dr. Erin Rothwell</w:t>
      </w:r>
      <w:r w:rsidR="00B05B4F">
        <w:t xml:space="preserve"> (AVP for Research Integrity and Compliance)</w:t>
      </w:r>
    </w:p>
    <w:p w14:paraId="52C26077" w14:textId="2AC78CCD" w:rsidR="00B05B4F" w:rsidRDefault="00FD0CCA">
      <w:pPr>
        <w:pStyle w:val="ListParagraph"/>
        <w:numPr>
          <w:ilvl w:val="0"/>
          <w:numId w:val="21"/>
        </w:numPr>
      </w:pPr>
      <w:r>
        <w:t>Dr. Caren Frost</w:t>
      </w:r>
      <w:r w:rsidR="00B05B4F">
        <w:t xml:space="preserve"> (Director of Compliance in Research Integrity and Compliance Office)</w:t>
      </w:r>
    </w:p>
    <w:p w14:paraId="1CCC9344" w14:textId="44714F24" w:rsidR="00B05B4F" w:rsidRDefault="007C4081">
      <w:pPr>
        <w:pStyle w:val="ListParagraph"/>
        <w:numPr>
          <w:ilvl w:val="0"/>
          <w:numId w:val="21"/>
        </w:numPr>
      </w:pPr>
      <w:r>
        <w:t>Glendon Mitchell</w:t>
      </w:r>
      <w:r w:rsidR="00B05B4F">
        <w:t xml:space="preserve"> (Director or Purchasing</w:t>
      </w:r>
      <w:r w:rsidR="00136AC5">
        <w:t xml:space="preserve"> and ex officio member of the COI Committee</w:t>
      </w:r>
      <w:r w:rsidR="00B05B4F">
        <w:t>)</w:t>
      </w:r>
    </w:p>
    <w:p w14:paraId="48484E84" w14:textId="49F5FA89" w:rsidR="00B05B4F" w:rsidRDefault="007C4081">
      <w:pPr>
        <w:pStyle w:val="ListParagraph"/>
        <w:numPr>
          <w:ilvl w:val="0"/>
          <w:numId w:val="21"/>
        </w:numPr>
      </w:pPr>
      <w:r>
        <w:t>Keith Marmer</w:t>
      </w:r>
      <w:r w:rsidR="00B05B4F">
        <w:t xml:space="preserve"> (Executive Director of the Center for Technology and Venture Commercialization)</w:t>
      </w:r>
    </w:p>
    <w:p w14:paraId="73331252" w14:textId="08FCDF23" w:rsidR="00136AC5" w:rsidRDefault="00136AC5">
      <w:pPr>
        <w:pStyle w:val="ListParagraph"/>
        <w:numPr>
          <w:ilvl w:val="0"/>
          <w:numId w:val="21"/>
        </w:numPr>
      </w:pPr>
      <w:r>
        <w:t>Brent Brown (Director of the Office of Sponsored Projects and ex officio member of the COI Committee)</w:t>
      </w:r>
    </w:p>
    <w:p w14:paraId="2B9A8AEF" w14:textId="214F38D8" w:rsidR="00F31015" w:rsidRDefault="00577457">
      <w:pPr>
        <w:pStyle w:val="ListParagraph"/>
        <w:numPr>
          <w:ilvl w:val="0"/>
          <w:numId w:val="21"/>
        </w:numPr>
      </w:pPr>
      <w:r>
        <w:t>Jahn Barlow (former University COI Officer</w:t>
      </w:r>
      <w:r w:rsidR="00B05B4F">
        <w:t>)</w:t>
      </w:r>
    </w:p>
    <w:p w14:paraId="6D793D33" w14:textId="661D76D5" w:rsidR="00136AC5" w:rsidRDefault="00136AC5"/>
    <w:p w14:paraId="1364BD12" w14:textId="0B058E34" w:rsidR="00136AC5" w:rsidRDefault="001E4CE5">
      <w:r>
        <w:t xml:space="preserve">The proposal was presented to the </w:t>
      </w:r>
      <w:r w:rsidR="00355073">
        <w:t>Academic Senate Institutional Policy Committee on August 9, 2019</w:t>
      </w:r>
      <w:r w:rsidR="000A2A36">
        <w:t>,</w:t>
      </w:r>
      <w:r w:rsidR="00355073">
        <w:t xml:space="preserve"> and September 13, 2019.</w:t>
      </w:r>
    </w:p>
    <w:p w14:paraId="417C2473" w14:textId="528F1995" w:rsidR="00355073" w:rsidRDefault="00355073"/>
    <w:p w14:paraId="56D53FBF" w14:textId="66683771" w:rsidR="00355073" w:rsidRDefault="00355073">
      <w:r>
        <w:t>The proposal was presented to the Academic Senate Executive Committee on September 16, 2019</w:t>
      </w:r>
      <w:r w:rsidR="000A2A36">
        <w:t>,</w:t>
      </w:r>
      <w:r>
        <w:t xml:space="preserve"> and October 14, 2019.</w:t>
      </w:r>
    </w:p>
    <w:p w14:paraId="2306EC60" w14:textId="5BA6E681" w:rsidR="00355073" w:rsidRDefault="00355073"/>
    <w:p w14:paraId="2CE5D594" w14:textId="04F0380D" w:rsidR="00355073" w:rsidRDefault="00355073">
      <w:r>
        <w:t xml:space="preserve">Revisions to the proposal were presented to Academic Senate officers </w:t>
      </w:r>
      <w:r w:rsidR="004A1F2C">
        <w:t xml:space="preserve">(Julio Facelli, Thomas Richmond, Randy Dryer, and Bob Flores) </w:t>
      </w:r>
      <w:r>
        <w:t xml:space="preserve">on March 6, 2020. </w:t>
      </w:r>
    </w:p>
    <w:p w14:paraId="0EA2EAB8" w14:textId="1B135DD4" w:rsidR="004A1F2C" w:rsidRDefault="004A1F2C"/>
    <w:p w14:paraId="51033E58" w14:textId="47C39A97" w:rsidR="004A1F2C" w:rsidRDefault="004A1F2C">
      <w:r>
        <w:t>The proposal was presented to the School of Medicine Executive Committee on March 12, 2020.</w:t>
      </w:r>
    </w:p>
    <w:p w14:paraId="360E69B3" w14:textId="438AD989" w:rsidR="004A1F2C" w:rsidRDefault="004A1F2C"/>
    <w:p w14:paraId="40C83F73" w14:textId="58E59E85" w:rsidR="004A1F2C" w:rsidRDefault="004A1F2C">
      <w:r>
        <w:lastRenderedPageBreak/>
        <w:t xml:space="preserve">The proposal is scheduled to be presented to the Health Sciences Research </w:t>
      </w:r>
      <w:r w:rsidR="00180914">
        <w:t>Forum</w:t>
      </w:r>
      <w:r>
        <w:t xml:space="preserve"> on March </w:t>
      </w:r>
      <w:r w:rsidR="00180914">
        <w:t>17, 2020, the Council of Academic Deans on March 19, 2020, the President’s Cabinet on March 25, 2020, and the Research Leadership Luncheon on April 1, 2020.</w:t>
      </w:r>
    </w:p>
    <w:p w14:paraId="093DA527" w14:textId="1CF58770" w:rsidR="00355073" w:rsidRDefault="00355073"/>
    <w:p w14:paraId="7708DFA4" w14:textId="198F2275" w:rsidR="00AD41B7" w:rsidRDefault="00AD41B7">
      <w:r>
        <w:t xml:space="preserve">If you approve of this proposal, it should be presented next to the Executive Committee of the Academic Senate, the Academic Senate, and the Board of Trustees for their approval. </w:t>
      </w:r>
    </w:p>
    <w:p w14:paraId="2329B261" w14:textId="1DF6B0C1" w:rsidR="00AD41B7" w:rsidRDefault="00AD41B7"/>
    <w:p w14:paraId="1BE79EBA" w14:textId="70AE60E3" w:rsidR="00AD41B7" w:rsidRDefault="00AD41B7">
      <w:r>
        <w:t>Questions about the proposal may be directed to</w:t>
      </w:r>
      <w:r w:rsidR="00355073">
        <w:t xml:space="preserve"> Marc Rinehart (Director/Officer, Conflict of Interest Office).</w:t>
      </w:r>
      <w:r>
        <w:t xml:space="preserve"> </w:t>
      </w:r>
    </w:p>
    <w:p w14:paraId="62D0B0CA" w14:textId="77777777" w:rsidR="00F31015" w:rsidRDefault="00F31015">
      <w:pPr>
        <w:pStyle w:val="ListParagraph"/>
      </w:pPr>
    </w:p>
    <w:p w14:paraId="7B1B1789" w14:textId="77777777" w:rsidR="00F31015" w:rsidRPr="00B06960" w:rsidRDefault="00F31015">
      <w:pPr>
        <w:pStyle w:val="ListParagraph"/>
        <w:numPr>
          <w:ilvl w:val="0"/>
          <w:numId w:val="1"/>
        </w:numPr>
        <w:rPr>
          <w:b/>
        </w:rPr>
      </w:pPr>
      <w:r w:rsidRPr="00B06960">
        <w:rPr>
          <w:b/>
        </w:rPr>
        <w:t>Proposal Contents</w:t>
      </w:r>
    </w:p>
    <w:p w14:paraId="5962E106" w14:textId="77777777" w:rsidR="00F31015" w:rsidRDefault="00F31015"/>
    <w:p w14:paraId="2DCDE282" w14:textId="703C74DB" w:rsidR="00AD41B7" w:rsidRDefault="00F31015">
      <w:r>
        <w:t xml:space="preserve">The proposal materials consist of (A) this Memorandum, (B) a “clean” version of the </w:t>
      </w:r>
      <w:r w:rsidR="00BE282B">
        <w:t xml:space="preserve">revised </w:t>
      </w:r>
      <w:r>
        <w:t xml:space="preserve">Policy 1-006, (C) a redlined version of the </w:t>
      </w:r>
      <w:r w:rsidR="00BE282B">
        <w:t xml:space="preserve">revised </w:t>
      </w:r>
      <w:r>
        <w:t>Policy 1-006,</w:t>
      </w:r>
      <w:r w:rsidR="008F5B4D">
        <w:t xml:space="preserve"> (</w:t>
      </w:r>
      <w:r w:rsidR="00AD41B7">
        <w:t>D</w:t>
      </w:r>
      <w:r w:rsidR="008F5B4D">
        <w:t xml:space="preserve">) a redlined version of </w:t>
      </w:r>
      <w:r w:rsidR="00AD41B7">
        <w:t xml:space="preserve">new </w:t>
      </w:r>
      <w:r w:rsidR="008F5B4D">
        <w:t>Rule 1-006C: Individual Financial Conflict of Interest in Research, (</w:t>
      </w:r>
      <w:r w:rsidR="00AD41B7">
        <w:t>E</w:t>
      </w:r>
      <w:r w:rsidR="008F5B4D">
        <w:t xml:space="preserve">) a redlined version of </w:t>
      </w:r>
      <w:r w:rsidR="00AD41B7">
        <w:t xml:space="preserve">new </w:t>
      </w:r>
      <w:r w:rsidR="008F5B4D">
        <w:t>Rule 1-006D: Individual Financial Conflict of Interest in Scholarly and Educational Activit</w:t>
      </w:r>
      <w:r w:rsidR="006450F0">
        <w:t>y</w:t>
      </w:r>
      <w:r w:rsidR="008F5B4D">
        <w:t>, (</w:t>
      </w:r>
      <w:r w:rsidR="00AD41B7">
        <w:t>F</w:t>
      </w:r>
      <w:r w:rsidR="008F5B4D">
        <w:t xml:space="preserve">) a redlined version of </w:t>
      </w:r>
      <w:r w:rsidR="00AD41B7">
        <w:t xml:space="preserve">new </w:t>
      </w:r>
      <w:r w:rsidR="008F5B4D">
        <w:t>Rule 1-006E: Individual Financial Conflict of Interest in Transactions</w:t>
      </w:r>
      <w:r w:rsidR="00AD41B7">
        <w:t xml:space="preserve"> (</w:t>
      </w:r>
      <w:r w:rsidR="000A2A36">
        <w:t>f</w:t>
      </w:r>
      <w:r w:rsidR="00AD41B7">
        <w:t>or those Rules, the redlined versions show the existing contents moved from the current main Policy, and then modifications made afterward.)</w:t>
      </w:r>
      <w:r w:rsidR="00180914">
        <w:t>, and</w:t>
      </w:r>
      <w:r w:rsidR="00AD41B7">
        <w:t xml:space="preserve"> (G) a redlined version of the revised Procedure 1-006.</w:t>
      </w:r>
    </w:p>
    <w:p w14:paraId="60AAC48C" w14:textId="77777777" w:rsidR="00F31015" w:rsidRPr="00950535" w:rsidRDefault="00F31015"/>
    <w:sectPr w:rsidR="00F31015" w:rsidRPr="00950535" w:rsidSect="00507D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B57A" w14:textId="77777777" w:rsidR="008F27F3" w:rsidRDefault="008F27F3" w:rsidP="00D11283">
      <w:r>
        <w:separator/>
      </w:r>
    </w:p>
  </w:endnote>
  <w:endnote w:type="continuationSeparator" w:id="0">
    <w:p w14:paraId="1402A9A2" w14:textId="77777777" w:rsidR="008F27F3" w:rsidRDefault="008F27F3" w:rsidP="00D1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29452"/>
      <w:docPartObj>
        <w:docPartGallery w:val="Page Numbers (Bottom of Page)"/>
        <w:docPartUnique/>
      </w:docPartObj>
    </w:sdtPr>
    <w:sdtEndPr>
      <w:rPr>
        <w:noProof/>
      </w:rPr>
    </w:sdtEndPr>
    <w:sdtContent>
      <w:p w14:paraId="0110379E" w14:textId="0241B4EE" w:rsidR="00DC5E2E" w:rsidRDefault="00DC5E2E">
        <w:pPr>
          <w:pStyle w:val="Footer"/>
          <w:jc w:val="center"/>
        </w:pPr>
        <w:r>
          <w:fldChar w:fldCharType="begin"/>
        </w:r>
        <w:r>
          <w:instrText xml:space="preserve"> PAGE   \* MERGEFORMAT </w:instrText>
        </w:r>
        <w:r>
          <w:fldChar w:fldCharType="separate"/>
        </w:r>
        <w:r w:rsidR="000A2A36">
          <w:rPr>
            <w:noProof/>
          </w:rPr>
          <w:t>14</w:t>
        </w:r>
        <w:r>
          <w:rPr>
            <w:noProof/>
          </w:rPr>
          <w:fldChar w:fldCharType="end"/>
        </w:r>
      </w:p>
    </w:sdtContent>
  </w:sdt>
  <w:p w14:paraId="156C6FF0" w14:textId="77777777" w:rsidR="00DC5E2E" w:rsidRDefault="00DC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4D21" w14:textId="77777777" w:rsidR="008F27F3" w:rsidRDefault="008F27F3" w:rsidP="00D11283">
      <w:r>
        <w:separator/>
      </w:r>
    </w:p>
  </w:footnote>
  <w:footnote w:type="continuationSeparator" w:id="0">
    <w:p w14:paraId="6C6FF538" w14:textId="77777777" w:rsidR="008F27F3" w:rsidRDefault="008F27F3" w:rsidP="00D11283">
      <w:r>
        <w:continuationSeparator/>
      </w:r>
    </w:p>
  </w:footnote>
  <w:footnote w:id="1">
    <w:p w14:paraId="71FA16BB" w14:textId="6C7E867C" w:rsidR="00DC5E2E" w:rsidRDefault="00DC5E2E">
      <w:pPr>
        <w:pStyle w:val="FootnoteText"/>
      </w:pPr>
      <w:r>
        <w:rPr>
          <w:rStyle w:val="FootnoteReference"/>
        </w:rPr>
        <w:footnoteRef/>
      </w:r>
      <w:r>
        <w:t xml:space="preserve"> </w:t>
      </w:r>
      <w:r w:rsidRPr="00BA541A">
        <w:rPr>
          <w:smallCaps/>
        </w:rPr>
        <w:t>JASON, Fundamental Research Security</w:t>
      </w:r>
      <w:r>
        <w:t xml:space="preserve"> 31 (Dec.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E3"/>
    <w:multiLevelType w:val="hybridMultilevel"/>
    <w:tmpl w:val="D3EC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74F2E"/>
    <w:multiLevelType w:val="hybridMultilevel"/>
    <w:tmpl w:val="B6183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F5DFB"/>
    <w:multiLevelType w:val="hybridMultilevel"/>
    <w:tmpl w:val="52167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C60E6"/>
    <w:multiLevelType w:val="hybridMultilevel"/>
    <w:tmpl w:val="4A4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046D"/>
    <w:multiLevelType w:val="hybridMultilevel"/>
    <w:tmpl w:val="79C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5CDA"/>
    <w:multiLevelType w:val="hybridMultilevel"/>
    <w:tmpl w:val="D12E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6029C"/>
    <w:multiLevelType w:val="hybridMultilevel"/>
    <w:tmpl w:val="8152B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D3564"/>
    <w:multiLevelType w:val="hybridMultilevel"/>
    <w:tmpl w:val="0156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A6E9D"/>
    <w:multiLevelType w:val="hybridMultilevel"/>
    <w:tmpl w:val="8AB4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00AEC"/>
    <w:multiLevelType w:val="hybridMultilevel"/>
    <w:tmpl w:val="2DA68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63407"/>
    <w:multiLevelType w:val="hybridMultilevel"/>
    <w:tmpl w:val="EE165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D4123"/>
    <w:multiLevelType w:val="hybridMultilevel"/>
    <w:tmpl w:val="41F4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7F11D3"/>
    <w:multiLevelType w:val="hybridMultilevel"/>
    <w:tmpl w:val="2D76954A"/>
    <w:lvl w:ilvl="0" w:tplc="B30C41D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703AE"/>
    <w:multiLevelType w:val="hybridMultilevel"/>
    <w:tmpl w:val="A02AF6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86581"/>
    <w:multiLevelType w:val="hybridMultilevel"/>
    <w:tmpl w:val="3E1A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1752E"/>
    <w:multiLevelType w:val="hybridMultilevel"/>
    <w:tmpl w:val="50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1197A"/>
    <w:multiLevelType w:val="hybridMultilevel"/>
    <w:tmpl w:val="32F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53C97"/>
    <w:multiLevelType w:val="hybridMultilevel"/>
    <w:tmpl w:val="73AC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5103D6A"/>
    <w:multiLevelType w:val="hybridMultilevel"/>
    <w:tmpl w:val="A48E51AA"/>
    <w:lvl w:ilvl="0" w:tplc="57EECE02">
      <w:start w:val="1"/>
      <w:numFmt w:val="upperLetter"/>
      <w:lvlText w:val="%1."/>
      <w:lvlJc w:val="left"/>
      <w:pPr>
        <w:ind w:left="1080" w:hanging="360"/>
      </w:pPr>
      <w:rPr>
        <w:rFonts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A32"/>
    <w:multiLevelType w:val="hybridMultilevel"/>
    <w:tmpl w:val="2D70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1173A"/>
    <w:multiLevelType w:val="hybridMultilevel"/>
    <w:tmpl w:val="4B3A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9"/>
  </w:num>
  <w:num w:numId="5">
    <w:abstractNumId w:val="20"/>
  </w:num>
  <w:num w:numId="6">
    <w:abstractNumId w:val="10"/>
  </w:num>
  <w:num w:numId="7">
    <w:abstractNumId w:val="13"/>
  </w:num>
  <w:num w:numId="8">
    <w:abstractNumId w:val="18"/>
  </w:num>
  <w:num w:numId="9">
    <w:abstractNumId w:val="3"/>
  </w:num>
  <w:num w:numId="10">
    <w:abstractNumId w:val="15"/>
  </w:num>
  <w:num w:numId="11">
    <w:abstractNumId w:val="7"/>
  </w:num>
  <w:num w:numId="12">
    <w:abstractNumId w:val="4"/>
  </w:num>
  <w:num w:numId="13">
    <w:abstractNumId w:val="16"/>
  </w:num>
  <w:num w:numId="14">
    <w:abstractNumId w:val="11"/>
  </w:num>
  <w:num w:numId="15">
    <w:abstractNumId w:val="8"/>
  </w:num>
  <w:num w:numId="16">
    <w:abstractNumId w:val="2"/>
  </w:num>
  <w:num w:numId="17">
    <w:abstractNumId w:val="6"/>
  </w:num>
  <w:num w:numId="18">
    <w:abstractNumId w:val="17"/>
  </w:num>
  <w:num w:numId="19">
    <w:abstractNumId w:val="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1F"/>
    <w:rsid w:val="0000180B"/>
    <w:rsid w:val="00002131"/>
    <w:rsid w:val="0001056B"/>
    <w:rsid w:val="00013961"/>
    <w:rsid w:val="00020644"/>
    <w:rsid w:val="00024A29"/>
    <w:rsid w:val="0002640F"/>
    <w:rsid w:val="0003162D"/>
    <w:rsid w:val="0003454D"/>
    <w:rsid w:val="00037E27"/>
    <w:rsid w:val="000416D9"/>
    <w:rsid w:val="00042AF9"/>
    <w:rsid w:val="00044CDA"/>
    <w:rsid w:val="000514B0"/>
    <w:rsid w:val="00064DF3"/>
    <w:rsid w:val="00066163"/>
    <w:rsid w:val="000700C8"/>
    <w:rsid w:val="00071CEA"/>
    <w:rsid w:val="00084991"/>
    <w:rsid w:val="00085763"/>
    <w:rsid w:val="0009279E"/>
    <w:rsid w:val="00093AAE"/>
    <w:rsid w:val="0009586D"/>
    <w:rsid w:val="00096434"/>
    <w:rsid w:val="000A03F0"/>
    <w:rsid w:val="000A0430"/>
    <w:rsid w:val="000A2A36"/>
    <w:rsid w:val="000A40BB"/>
    <w:rsid w:val="000B5BDF"/>
    <w:rsid w:val="000C2A48"/>
    <w:rsid w:val="000C2ECA"/>
    <w:rsid w:val="000C57B6"/>
    <w:rsid w:val="000D48E4"/>
    <w:rsid w:val="000D569E"/>
    <w:rsid w:val="000D7357"/>
    <w:rsid w:val="000E37C1"/>
    <w:rsid w:val="000F0C9C"/>
    <w:rsid w:val="000F1EC7"/>
    <w:rsid w:val="000F642C"/>
    <w:rsid w:val="000F772C"/>
    <w:rsid w:val="001010EC"/>
    <w:rsid w:val="00103F5B"/>
    <w:rsid w:val="00107E75"/>
    <w:rsid w:val="001119C0"/>
    <w:rsid w:val="00115DD3"/>
    <w:rsid w:val="0012077E"/>
    <w:rsid w:val="001229A8"/>
    <w:rsid w:val="0012487E"/>
    <w:rsid w:val="00136AC5"/>
    <w:rsid w:val="00142B64"/>
    <w:rsid w:val="0014327B"/>
    <w:rsid w:val="001474CA"/>
    <w:rsid w:val="00153085"/>
    <w:rsid w:val="001539FC"/>
    <w:rsid w:val="0015435F"/>
    <w:rsid w:val="00165A24"/>
    <w:rsid w:val="0017097B"/>
    <w:rsid w:val="001744D5"/>
    <w:rsid w:val="001777EE"/>
    <w:rsid w:val="0017783D"/>
    <w:rsid w:val="00180914"/>
    <w:rsid w:val="001819EB"/>
    <w:rsid w:val="00181F6D"/>
    <w:rsid w:val="00183E1E"/>
    <w:rsid w:val="00184466"/>
    <w:rsid w:val="0019001D"/>
    <w:rsid w:val="0019014C"/>
    <w:rsid w:val="001965C7"/>
    <w:rsid w:val="001A6993"/>
    <w:rsid w:val="001B4D14"/>
    <w:rsid w:val="001B7C7D"/>
    <w:rsid w:val="001C5CE1"/>
    <w:rsid w:val="001D1036"/>
    <w:rsid w:val="001D3599"/>
    <w:rsid w:val="001E18E3"/>
    <w:rsid w:val="001E331F"/>
    <w:rsid w:val="001E4CE5"/>
    <w:rsid w:val="001E5346"/>
    <w:rsid w:val="001F518D"/>
    <w:rsid w:val="001F774C"/>
    <w:rsid w:val="00201044"/>
    <w:rsid w:val="00203184"/>
    <w:rsid w:val="00205A21"/>
    <w:rsid w:val="00210004"/>
    <w:rsid w:val="0021437F"/>
    <w:rsid w:val="00217EA4"/>
    <w:rsid w:val="002205A9"/>
    <w:rsid w:val="00224478"/>
    <w:rsid w:val="00224D80"/>
    <w:rsid w:val="002259D5"/>
    <w:rsid w:val="002369BF"/>
    <w:rsid w:val="002476DC"/>
    <w:rsid w:val="00250F0E"/>
    <w:rsid w:val="00255128"/>
    <w:rsid w:val="00255B87"/>
    <w:rsid w:val="002610E1"/>
    <w:rsid w:val="002740C0"/>
    <w:rsid w:val="002803AF"/>
    <w:rsid w:val="00285685"/>
    <w:rsid w:val="00285CEE"/>
    <w:rsid w:val="002919EB"/>
    <w:rsid w:val="00292174"/>
    <w:rsid w:val="002945E6"/>
    <w:rsid w:val="00297051"/>
    <w:rsid w:val="00297D11"/>
    <w:rsid w:val="002A01AA"/>
    <w:rsid w:val="002A4299"/>
    <w:rsid w:val="002B068D"/>
    <w:rsid w:val="002B3183"/>
    <w:rsid w:val="002B3C17"/>
    <w:rsid w:val="002B4394"/>
    <w:rsid w:val="002C5D4B"/>
    <w:rsid w:val="002D131F"/>
    <w:rsid w:val="002D3DE7"/>
    <w:rsid w:val="002D428C"/>
    <w:rsid w:val="002D4A11"/>
    <w:rsid w:val="002D53AA"/>
    <w:rsid w:val="002D5F9D"/>
    <w:rsid w:val="002E73D0"/>
    <w:rsid w:val="002F1BD7"/>
    <w:rsid w:val="002F2CCE"/>
    <w:rsid w:val="0030128A"/>
    <w:rsid w:val="0030644A"/>
    <w:rsid w:val="00307C49"/>
    <w:rsid w:val="00312B21"/>
    <w:rsid w:val="003200CE"/>
    <w:rsid w:val="00321A7B"/>
    <w:rsid w:val="00323671"/>
    <w:rsid w:val="003257B0"/>
    <w:rsid w:val="00331E66"/>
    <w:rsid w:val="00343842"/>
    <w:rsid w:val="00345477"/>
    <w:rsid w:val="003528F4"/>
    <w:rsid w:val="00355073"/>
    <w:rsid w:val="003567D4"/>
    <w:rsid w:val="003621A6"/>
    <w:rsid w:val="003644FB"/>
    <w:rsid w:val="003660F8"/>
    <w:rsid w:val="003765E9"/>
    <w:rsid w:val="003844E9"/>
    <w:rsid w:val="00390AF2"/>
    <w:rsid w:val="003972CA"/>
    <w:rsid w:val="003A0822"/>
    <w:rsid w:val="003A63C6"/>
    <w:rsid w:val="003B4B06"/>
    <w:rsid w:val="003C7522"/>
    <w:rsid w:val="003D457C"/>
    <w:rsid w:val="003E1075"/>
    <w:rsid w:val="003E662D"/>
    <w:rsid w:val="003F2963"/>
    <w:rsid w:val="003F2BFC"/>
    <w:rsid w:val="003F5FBF"/>
    <w:rsid w:val="00400B85"/>
    <w:rsid w:val="004072BE"/>
    <w:rsid w:val="00410156"/>
    <w:rsid w:val="00412BA8"/>
    <w:rsid w:val="00423282"/>
    <w:rsid w:val="004277FD"/>
    <w:rsid w:val="00427DFE"/>
    <w:rsid w:val="00430685"/>
    <w:rsid w:val="00430B99"/>
    <w:rsid w:val="004461EF"/>
    <w:rsid w:val="0044792B"/>
    <w:rsid w:val="00454B02"/>
    <w:rsid w:val="00457C24"/>
    <w:rsid w:val="00461002"/>
    <w:rsid w:val="0046638E"/>
    <w:rsid w:val="00476120"/>
    <w:rsid w:val="004816D2"/>
    <w:rsid w:val="00493F1C"/>
    <w:rsid w:val="004945E9"/>
    <w:rsid w:val="004A1CE3"/>
    <w:rsid w:val="004A1F2C"/>
    <w:rsid w:val="004A3FC5"/>
    <w:rsid w:val="004A60AF"/>
    <w:rsid w:val="004B56FD"/>
    <w:rsid w:val="004E0E49"/>
    <w:rsid w:val="004E190C"/>
    <w:rsid w:val="004E6E0E"/>
    <w:rsid w:val="004F2732"/>
    <w:rsid w:val="00503B1D"/>
    <w:rsid w:val="005061CA"/>
    <w:rsid w:val="00507DB0"/>
    <w:rsid w:val="00516C88"/>
    <w:rsid w:val="00517130"/>
    <w:rsid w:val="0051773F"/>
    <w:rsid w:val="005177F2"/>
    <w:rsid w:val="0052798C"/>
    <w:rsid w:val="00531236"/>
    <w:rsid w:val="00533FB0"/>
    <w:rsid w:val="00541213"/>
    <w:rsid w:val="005452CB"/>
    <w:rsid w:val="00545D3F"/>
    <w:rsid w:val="005570C7"/>
    <w:rsid w:val="00557402"/>
    <w:rsid w:val="00560822"/>
    <w:rsid w:val="00560F97"/>
    <w:rsid w:val="00562E8A"/>
    <w:rsid w:val="00564672"/>
    <w:rsid w:val="00565B61"/>
    <w:rsid w:val="005668C7"/>
    <w:rsid w:val="00574A58"/>
    <w:rsid w:val="00577457"/>
    <w:rsid w:val="0057788C"/>
    <w:rsid w:val="005801B9"/>
    <w:rsid w:val="0058022D"/>
    <w:rsid w:val="0058379E"/>
    <w:rsid w:val="00587179"/>
    <w:rsid w:val="0059468C"/>
    <w:rsid w:val="005A01AA"/>
    <w:rsid w:val="005A0276"/>
    <w:rsid w:val="005A065B"/>
    <w:rsid w:val="005A0B5F"/>
    <w:rsid w:val="005B20EA"/>
    <w:rsid w:val="005B4192"/>
    <w:rsid w:val="005B5FC6"/>
    <w:rsid w:val="005C19E7"/>
    <w:rsid w:val="005C21B0"/>
    <w:rsid w:val="005D4A1A"/>
    <w:rsid w:val="005D61A0"/>
    <w:rsid w:val="005D6794"/>
    <w:rsid w:val="005D6FB7"/>
    <w:rsid w:val="005E16C3"/>
    <w:rsid w:val="005E68A0"/>
    <w:rsid w:val="005F090C"/>
    <w:rsid w:val="00603854"/>
    <w:rsid w:val="00604CB4"/>
    <w:rsid w:val="00606217"/>
    <w:rsid w:val="006118B2"/>
    <w:rsid w:val="00612212"/>
    <w:rsid w:val="0061587B"/>
    <w:rsid w:val="00615E97"/>
    <w:rsid w:val="0061721B"/>
    <w:rsid w:val="0062107D"/>
    <w:rsid w:val="00621284"/>
    <w:rsid w:val="00621BF1"/>
    <w:rsid w:val="00622130"/>
    <w:rsid w:val="00622B06"/>
    <w:rsid w:val="00626B65"/>
    <w:rsid w:val="00632882"/>
    <w:rsid w:val="00634ADE"/>
    <w:rsid w:val="0063746B"/>
    <w:rsid w:val="00637F82"/>
    <w:rsid w:val="00642118"/>
    <w:rsid w:val="00643757"/>
    <w:rsid w:val="006450F0"/>
    <w:rsid w:val="006502A5"/>
    <w:rsid w:val="00650B2C"/>
    <w:rsid w:val="00650E05"/>
    <w:rsid w:val="006514D0"/>
    <w:rsid w:val="006602AF"/>
    <w:rsid w:val="0066373F"/>
    <w:rsid w:val="00667DFE"/>
    <w:rsid w:val="006709B1"/>
    <w:rsid w:val="00674E33"/>
    <w:rsid w:val="00675EC8"/>
    <w:rsid w:val="00677BE4"/>
    <w:rsid w:val="0068119A"/>
    <w:rsid w:val="006929CE"/>
    <w:rsid w:val="00693625"/>
    <w:rsid w:val="006A1852"/>
    <w:rsid w:val="006B5154"/>
    <w:rsid w:val="006C50ED"/>
    <w:rsid w:val="006D2202"/>
    <w:rsid w:val="006D4AF6"/>
    <w:rsid w:val="006D5B76"/>
    <w:rsid w:val="006D67EE"/>
    <w:rsid w:val="006E4DA8"/>
    <w:rsid w:val="006E782A"/>
    <w:rsid w:val="006F2DB8"/>
    <w:rsid w:val="006F5F79"/>
    <w:rsid w:val="006F6608"/>
    <w:rsid w:val="006F6B32"/>
    <w:rsid w:val="007021E0"/>
    <w:rsid w:val="007026C2"/>
    <w:rsid w:val="007055BA"/>
    <w:rsid w:val="00705745"/>
    <w:rsid w:val="00713B0D"/>
    <w:rsid w:val="00715930"/>
    <w:rsid w:val="0071607F"/>
    <w:rsid w:val="00717490"/>
    <w:rsid w:val="00720518"/>
    <w:rsid w:val="00723776"/>
    <w:rsid w:val="00731382"/>
    <w:rsid w:val="00732124"/>
    <w:rsid w:val="00754E93"/>
    <w:rsid w:val="00762E1F"/>
    <w:rsid w:val="0076343F"/>
    <w:rsid w:val="007722CF"/>
    <w:rsid w:val="007775B4"/>
    <w:rsid w:val="00786CB0"/>
    <w:rsid w:val="00795915"/>
    <w:rsid w:val="007B74CD"/>
    <w:rsid w:val="007C241B"/>
    <w:rsid w:val="007C4081"/>
    <w:rsid w:val="007C4993"/>
    <w:rsid w:val="007D358A"/>
    <w:rsid w:val="007D3A35"/>
    <w:rsid w:val="007D4D9C"/>
    <w:rsid w:val="007D71BA"/>
    <w:rsid w:val="007E2795"/>
    <w:rsid w:val="007E3F25"/>
    <w:rsid w:val="007F0536"/>
    <w:rsid w:val="007F1A4A"/>
    <w:rsid w:val="007F3083"/>
    <w:rsid w:val="007F7204"/>
    <w:rsid w:val="00814857"/>
    <w:rsid w:val="00815D19"/>
    <w:rsid w:val="008177F9"/>
    <w:rsid w:val="00820F4C"/>
    <w:rsid w:val="008221D8"/>
    <w:rsid w:val="0082788D"/>
    <w:rsid w:val="00827EE8"/>
    <w:rsid w:val="0083102A"/>
    <w:rsid w:val="00843296"/>
    <w:rsid w:val="00844642"/>
    <w:rsid w:val="008447D9"/>
    <w:rsid w:val="00853546"/>
    <w:rsid w:val="0085711E"/>
    <w:rsid w:val="00861F05"/>
    <w:rsid w:val="00870088"/>
    <w:rsid w:val="0087243C"/>
    <w:rsid w:val="00875626"/>
    <w:rsid w:val="008763FA"/>
    <w:rsid w:val="00882E75"/>
    <w:rsid w:val="00883917"/>
    <w:rsid w:val="00891203"/>
    <w:rsid w:val="00894297"/>
    <w:rsid w:val="00894E43"/>
    <w:rsid w:val="008A3027"/>
    <w:rsid w:val="008C285E"/>
    <w:rsid w:val="008C2C38"/>
    <w:rsid w:val="008C5BB4"/>
    <w:rsid w:val="008C5BD3"/>
    <w:rsid w:val="008D1E79"/>
    <w:rsid w:val="008D247B"/>
    <w:rsid w:val="008D2C7B"/>
    <w:rsid w:val="008D3889"/>
    <w:rsid w:val="008D4737"/>
    <w:rsid w:val="008F27F3"/>
    <w:rsid w:val="008F3254"/>
    <w:rsid w:val="008F3AA3"/>
    <w:rsid w:val="008F5B4D"/>
    <w:rsid w:val="008F6F33"/>
    <w:rsid w:val="00902A54"/>
    <w:rsid w:val="009044B1"/>
    <w:rsid w:val="0091013B"/>
    <w:rsid w:val="0091227A"/>
    <w:rsid w:val="00912CE8"/>
    <w:rsid w:val="00915EC1"/>
    <w:rsid w:val="00926344"/>
    <w:rsid w:val="00933CE9"/>
    <w:rsid w:val="009353C6"/>
    <w:rsid w:val="00943611"/>
    <w:rsid w:val="00950535"/>
    <w:rsid w:val="00951FDA"/>
    <w:rsid w:val="00960CBE"/>
    <w:rsid w:val="009614EA"/>
    <w:rsid w:val="0096460C"/>
    <w:rsid w:val="00975376"/>
    <w:rsid w:val="0098084A"/>
    <w:rsid w:val="009816D5"/>
    <w:rsid w:val="00982B25"/>
    <w:rsid w:val="00990E4A"/>
    <w:rsid w:val="00994723"/>
    <w:rsid w:val="00997F3C"/>
    <w:rsid w:val="009A04C8"/>
    <w:rsid w:val="009A12E1"/>
    <w:rsid w:val="009A1E63"/>
    <w:rsid w:val="009A4F18"/>
    <w:rsid w:val="009A7571"/>
    <w:rsid w:val="009A78DB"/>
    <w:rsid w:val="009B4DDB"/>
    <w:rsid w:val="009B637D"/>
    <w:rsid w:val="009B67B2"/>
    <w:rsid w:val="009B7FEF"/>
    <w:rsid w:val="009D1D51"/>
    <w:rsid w:val="009F217D"/>
    <w:rsid w:val="009F2953"/>
    <w:rsid w:val="009F3FBE"/>
    <w:rsid w:val="00A017D9"/>
    <w:rsid w:val="00A058DA"/>
    <w:rsid w:val="00A06EBF"/>
    <w:rsid w:val="00A11862"/>
    <w:rsid w:val="00A17C62"/>
    <w:rsid w:val="00A24FBA"/>
    <w:rsid w:val="00A270D3"/>
    <w:rsid w:val="00A40DB4"/>
    <w:rsid w:val="00A44475"/>
    <w:rsid w:val="00A56C4E"/>
    <w:rsid w:val="00A63C1F"/>
    <w:rsid w:val="00A65183"/>
    <w:rsid w:val="00A66BF1"/>
    <w:rsid w:val="00A67284"/>
    <w:rsid w:val="00A70442"/>
    <w:rsid w:val="00A7156E"/>
    <w:rsid w:val="00A72593"/>
    <w:rsid w:val="00A73F9A"/>
    <w:rsid w:val="00A80F9D"/>
    <w:rsid w:val="00A83E5B"/>
    <w:rsid w:val="00A877CB"/>
    <w:rsid w:val="00A91E71"/>
    <w:rsid w:val="00A96057"/>
    <w:rsid w:val="00AA2A5A"/>
    <w:rsid w:val="00AA3D01"/>
    <w:rsid w:val="00AA5EF9"/>
    <w:rsid w:val="00AB5127"/>
    <w:rsid w:val="00AB5B32"/>
    <w:rsid w:val="00AB6087"/>
    <w:rsid w:val="00AC2E25"/>
    <w:rsid w:val="00AC4C7D"/>
    <w:rsid w:val="00AC55E0"/>
    <w:rsid w:val="00AC654E"/>
    <w:rsid w:val="00AC6912"/>
    <w:rsid w:val="00AD3D18"/>
    <w:rsid w:val="00AD41B7"/>
    <w:rsid w:val="00AE2AB7"/>
    <w:rsid w:val="00AE312E"/>
    <w:rsid w:val="00AE381A"/>
    <w:rsid w:val="00AF6420"/>
    <w:rsid w:val="00B04331"/>
    <w:rsid w:val="00B05B4F"/>
    <w:rsid w:val="00B13724"/>
    <w:rsid w:val="00B1782C"/>
    <w:rsid w:val="00B27E36"/>
    <w:rsid w:val="00B30E1D"/>
    <w:rsid w:val="00B442CD"/>
    <w:rsid w:val="00B46850"/>
    <w:rsid w:val="00B54BE2"/>
    <w:rsid w:val="00B61529"/>
    <w:rsid w:val="00B61BDE"/>
    <w:rsid w:val="00B64C28"/>
    <w:rsid w:val="00B6659E"/>
    <w:rsid w:val="00B66F60"/>
    <w:rsid w:val="00B75B0C"/>
    <w:rsid w:val="00B7737D"/>
    <w:rsid w:val="00B80E7D"/>
    <w:rsid w:val="00B92BFD"/>
    <w:rsid w:val="00BA10FF"/>
    <w:rsid w:val="00BA541A"/>
    <w:rsid w:val="00BB09BC"/>
    <w:rsid w:val="00BB3F0E"/>
    <w:rsid w:val="00BC4DD5"/>
    <w:rsid w:val="00BC6A00"/>
    <w:rsid w:val="00BD5E76"/>
    <w:rsid w:val="00BE102B"/>
    <w:rsid w:val="00BE282B"/>
    <w:rsid w:val="00BE722D"/>
    <w:rsid w:val="00C023EB"/>
    <w:rsid w:val="00C14A75"/>
    <w:rsid w:val="00C15722"/>
    <w:rsid w:val="00C17208"/>
    <w:rsid w:val="00C2045C"/>
    <w:rsid w:val="00C20F91"/>
    <w:rsid w:val="00C329E9"/>
    <w:rsid w:val="00C4050C"/>
    <w:rsid w:val="00C41700"/>
    <w:rsid w:val="00C43370"/>
    <w:rsid w:val="00C53DA9"/>
    <w:rsid w:val="00C63C04"/>
    <w:rsid w:val="00C67379"/>
    <w:rsid w:val="00C82476"/>
    <w:rsid w:val="00C82FA4"/>
    <w:rsid w:val="00C852E4"/>
    <w:rsid w:val="00C8736C"/>
    <w:rsid w:val="00C87B25"/>
    <w:rsid w:val="00C91A7B"/>
    <w:rsid w:val="00C927EB"/>
    <w:rsid w:val="00C97836"/>
    <w:rsid w:val="00C97BA2"/>
    <w:rsid w:val="00CA6135"/>
    <w:rsid w:val="00CA688C"/>
    <w:rsid w:val="00CA76C0"/>
    <w:rsid w:val="00CB15B3"/>
    <w:rsid w:val="00CB51AC"/>
    <w:rsid w:val="00CB5C0A"/>
    <w:rsid w:val="00CB7168"/>
    <w:rsid w:val="00CC054B"/>
    <w:rsid w:val="00CC66A0"/>
    <w:rsid w:val="00CD2FED"/>
    <w:rsid w:val="00CE2406"/>
    <w:rsid w:val="00CE26C3"/>
    <w:rsid w:val="00CE4DC2"/>
    <w:rsid w:val="00CF0E23"/>
    <w:rsid w:val="00CF1FF1"/>
    <w:rsid w:val="00CF25EB"/>
    <w:rsid w:val="00CF4D65"/>
    <w:rsid w:val="00CF63E0"/>
    <w:rsid w:val="00D00633"/>
    <w:rsid w:val="00D014EB"/>
    <w:rsid w:val="00D015C6"/>
    <w:rsid w:val="00D02915"/>
    <w:rsid w:val="00D11283"/>
    <w:rsid w:val="00D12B16"/>
    <w:rsid w:val="00D17BB8"/>
    <w:rsid w:val="00D212A4"/>
    <w:rsid w:val="00D243A3"/>
    <w:rsid w:val="00D27F82"/>
    <w:rsid w:val="00D4450A"/>
    <w:rsid w:val="00D453D7"/>
    <w:rsid w:val="00D5484F"/>
    <w:rsid w:val="00D5693F"/>
    <w:rsid w:val="00D56BD7"/>
    <w:rsid w:val="00D603D3"/>
    <w:rsid w:val="00D61279"/>
    <w:rsid w:val="00D61AD4"/>
    <w:rsid w:val="00D73B0D"/>
    <w:rsid w:val="00D76F95"/>
    <w:rsid w:val="00D83C2D"/>
    <w:rsid w:val="00D8595E"/>
    <w:rsid w:val="00D93A80"/>
    <w:rsid w:val="00DB0F23"/>
    <w:rsid w:val="00DB50AC"/>
    <w:rsid w:val="00DB5367"/>
    <w:rsid w:val="00DC0089"/>
    <w:rsid w:val="00DC5E2E"/>
    <w:rsid w:val="00DC762D"/>
    <w:rsid w:val="00DE4C56"/>
    <w:rsid w:val="00DF0D28"/>
    <w:rsid w:val="00DF3FFE"/>
    <w:rsid w:val="00E054BB"/>
    <w:rsid w:val="00E145C5"/>
    <w:rsid w:val="00E14FD0"/>
    <w:rsid w:val="00E175F2"/>
    <w:rsid w:val="00E22EA5"/>
    <w:rsid w:val="00E22F40"/>
    <w:rsid w:val="00E279C7"/>
    <w:rsid w:val="00E35289"/>
    <w:rsid w:val="00E3542B"/>
    <w:rsid w:val="00E37F6C"/>
    <w:rsid w:val="00E434C0"/>
    <w:rsid w:val="00E43BF6"/>
    <w:rsid w:val="00E50F51"/>
    <w:rsid w:val="00E52BD6"/>
    <w:rsid w:val="00E5499C"/>
    <w:rsid w:val="00E56E8E"/>
    <w:rsid w:val="00E60341"/>
    <w:rsid w:val="00E6759F"/>
    <w:rsid w:val="00E67690"/>
    <w:rsid w:val="00E73638"/>
    <w:rsid w:val="00E87690"/>
    <w:rsid w:val="00E939A4"/>
    <w:rsid w:val="00E945C3"/>
    <w:rsid w:val="00EA2D7A"/>
    <w:rsid w:val="00EA7345"/>
    <w:rsid w:val="00EB3102"/>
    <w:rsid w:val="00EB61CC"/>
    <w:rsid w:val="00EB7034"/>
    <w:rsid w:val="00EC1211"/>
    <w:rsid w:val="00ED03C3"/>
    <w:rsid w:val="00ED1E3C"/>
    <w:rsid w:val="00ED79D1"/>
    <w:rsid w:val="00EE44FA"/>
    <w:rsid w:val="00EE7F79"/>
    <w:rsid w:val="00EF10EB"/>
    <w:rsid w:val="00EF7A95"/>
    <w:rsid w:val="00F06A02"/>
    <w:rsid w:val="00F10147"/>
    <w:rsid w:val="00F152FB"/>
    <w:rsid w:val="00F21855"/>
    <w:rsid w:val="00F31015"/>
    <w:rsid w:val="00F40102"/>
    <w:rsid w:val="00F40A6E"/>
    <w:rsid w:val="00F40C6E"/>
    <w:rsid w:val="00F41B70"/>
    <w:rsid w:val="00F54BE9"/>
    <w:rsid w:val="00F577B3"/>
    <w:rsid w:val="00F644BE"/>
    <w:rsid w:val="00F8035C"/>
    <w:rsid w:val="00F86C06"/>
    <w:rsid w:val="00F943B0"/>
    <w:rsid w:val="00F96A5D"/>
    <w:rsid w:val="00FA5372"/>
    <w:rsid w:val="00FB54F4"/>
    <w:rsid w:val="00FB6638"/>
    <w:rsid w:val="00FB6AAF"/>
    <w:rsid w:val="00FC28DF"/>
    <w:rsid w:val="00FC439C"/>
    <w:rsid w:val="00FC4F4D"/>
    <w:rsid w:val="00FD0CCA"/>
    <w:rsid w:val="00FD0F80"/>
    <w:rsid w:val="00FD2792"/>
    <w:rsid w:val="00FD5C04"/>
    <w:rsid w:val="00FE27C3"/>
    <w:rsid w:val="00FE69C2"/>
    <w:rsid w:val="00FF1325"/>
    <w:rsid w:val="00FF48A4"/>
    <w:rsid w:val="00FF49CC"/>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035"/>
  <w14:defaultImageDpi w14:val="330"/>
  <w15:chartTrackingRefBased/>
  <w15:docId w15:val="{6B50B181-14EB-1A4C-9EF3-7387930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0E1"/>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1F"/>
    <w:pPr>
      <w:ind w:left="720"/>
      <w:contextualSpacing/>
    </w:pPr>
  </w:style>
  <w:style w:type="paragraph" w:styleId="CommentText">
    <w:name w:val="annotation text"/>
    <w:basedOn w:val="Normal"/>
    <w:link w:val="CommentTextChar"/>
    <w:uiPriority w:val="99"/>
    <w:semiHidden/>
    <w:unhideWhenUsed/>
    <w:rsid w:val="0030128A"/>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128A"/>
    <w:rPr>
      <w:sz w:val="20"/>
      <w:szCs w:val="20"/>
    </w:rPr>
  </w:style>
  <w:style w:type="paragraph" w:styleId="BalloonText">
    <w:name w:val="Balloon Text"/>
    <w:basedOn w:val="Normal"/>
    <w:link w:val="BalloonTextChar"/>
    <w:uiPriority w:val="99"/>
    <w:semiHidden/>
    <w:unhideWhenUsed/>
    <w:rsid w:val="002B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94"/>
    <w:rPr>
      <w:rFonts w:ascii="Segoe UI" w:hAnsi="Segoe UI" w:cs="Segoe UI"/>
      <w:sz w:val="18"/>
      <w:szCs w:val="18"/>
    </w:rPr>
  </w:style>
  <w:style w:type="paragraph" w:styleId="Revision">
    <w:name w:val="Revision"/>
    <w:hidden/>
    <w:uiPriority w:val="99"/>
    <w:semiHidden/>
    <w:rsid w:val="003C7522"/>
    <w:rPr>
      <w:rFonts w:ascii="Palatino" w:hAnsi="Palatino"/>
    </w:rPr>
  </w:style>
  <w:style w:type="paragraph" w:styleId="FootnoteText">
    <w:name w:val="footnote text"/>
    <w:basedOn w:val="Normal"/>
    <w:link w:val="FootnoteTextChar"/>
    <w:uiPriority w:val="99"/>
    <w:semiHidden/>
    <w:unhideWhenUsed/>
    <w:rsid w:val="00D11283"/>
    <w:rPr>
      <w:sz w:val="20"/>
      <w:szCs w:val="20"/>
    </w:rPr>
  </w:style>
  <w:style w:type="character" w:customStyle="1" w:styleId="FootnoteTextChar">
    <w:name w:val="Footnote Text Char"/>
    <w:basedOn w:val="DefaultParagraphFont"/>
    <w:link w:val="FootnoteText"/>
    <w:uiPriority w:val="99"/>
    <w:semiHidden/>
    <w:rsid w:val="00D11283"/>
    <w:rPr>
      <w:rFonts w:ascii="Palatino" w:hAnsi="Palatino"/>
      <w:sz w:val="20"/>
      <w:szCs w:val="20"/>
    </w:rPr>
  </w:style>
  <w:style w:type="character" w:styleId="FootnoteReference">
    <w:name w:val="footnote reference"/>
    <w:basedOn w:val="DefaultParagraphFont"/>
    <w:uiPriority w:val="99"/>
    <w:semiHidden/>
    <w:unhideWhenUsed/>
    <w:rsid w:val="00D11283"/>
    <w:rPr>
      <w:vertAlign w:val="superscript"/>
    </w:rPr>
  </w:style>
  <w:style w:type="character" w:styleId="CommentReference">
    <w:name w:val="annotation reference"/>
    <w:basedOn w:val="DefaultParagraphFont"/>
    <w:uiPriority w:val="99"/>
    <w:semiHidden/>
    <w:unhideWhenUsed/>
    <w:rsid w:val="009614EA"/>
    <w:rPr>
      <w:sz w:val="16"/>
      <w:szCs w:val="16"/>
    </w:rPr>
  </w:style>
  <w:style w:type="paragraph" w:styleId="CommentSubject">
    <w:name w:val="annotation subject"/>
    <w:basedOn w:val="CommentText"/>
    <w:next w:val="CommentText"/>
    <w:link w:val="CommentSubjectChar"/>
    <w:uiPriority w:val="99"/>
    <w:semiHidden/>
    <w:unhideWhenUsed/>
    <w:rsid w:val="009614EA"/>
    <w:rPr>
      <w:rFonts w:ascii="Palatino" w:hAnsi="Palatino"/>
      <w:b/>
      <w:bCs/>
    </w:rPr>
  </w:style>
  <w:style w:type="character" w:customStyle="1" w:styleId="CommentSubjectChar">
    <w:name w:val="Comment Subject Char"/>
    <w:basedOn w:val="CommentTextChar"/>
    <w:link w:val="CommentSubject"/>
    <w:uiPriority w:val="99"/>
    <w:semiHidden/>
    <w:rsid w:val="009614EA"/>
    <w:rPr>
      <w:rFonts w:ascii="Palatino" w:hAnsi="Palatino"/>
      <w:b/>
      <w:bCs/>
      <w:sz w:val="20"/>
      <w:szCs w:val="20"/>
    </w:rPr>
  </w:style>
  <w:style w:type="paragraph" w:styleId="Header">
    <w:name w:val="header"/>
    <w:basedOn w:val="Normal"/>
    <w:link w:val="HeaderChar"/>
    <w:uiPriority w:val="99"/>
    <w:unhideWhenUsed/>
    <w:rsid w:val="00BE722D"/>
    <w:pPr>
      <w:tabs>
        <w:tab w:val="center" w:pos="4680"/>
        <w:tab w:val="right" w:pos="9360"/>
      </w:tabs>
    </w:pPr>
  </w:style>
  <w:style w:type="character" w:customStyle="1" w:styleId="HeaderChar">
    <w:name w:val="Header Char"/>
    <w:basedOn w:val="DefaultParagraphFont"/>
    <w:link w:val="Header"/>
    <w:uiPriority w:val="99"/>
    <w:rsid w:val="00BE722D"/>
    <w:rPr>
      <w:rFonts w:ascii="Palatino" w:hAnsi="Palatino"/>
    </w:rPr>
  </w:style>
  <w:style w:type="paragraph" w:styleId="Footer">
    <w:name w:val="footer"/>
    <w:basedOn w:val="Normal"/>
    <w:link w:val="FooterChar"/>
    <w:uiPriority w:val="99"/>
    <w:unhideWhenUsed/>
    <w:rsid w:val="00BE722D"/>
    <w:pPr>
      <w:tabs>
        <w:tab w:val="center" w:pos="4680"/>
        <w:tab w:val="right" w:pos="9360"/>
      </w:tabs>
    </w:pPr>
  </w:style>
  <w:style w:type="character" w:customStyle="1" w:styleId="FooterChar">
    <w:name w:val="Footer Char"/>
    <w:basedOn w:val="DefaultParagraphFont"/>
    <w:link w:val="Footer"/>
    <w:uiPriority w:val="99"/>
    <w:rsid w:val="00BE722D"/>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C967-1BEF-B54B-9D1C-3DCCA280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2020-02-18T19:21:00Z</cp:lastPrinted>
  <dcterms:created xsi:type="dcterms:W3CDTF">2020-03-10T18:49:00Z</dcterms:created>
  <dcterms:modified xsi:type="dcterms:W3CDTF">2020-03-10T18:49:00Z</dcterms:modified>
</cp:coreProperties>
</file>